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683A81" w:rsidRDefault="00F7009C" w:rsidP="00A85A7B">
      <w:pPr>
        <w:widowControl w:val="0"/>
        <w:spacing w:before="100" w:beforeAutospacing="1" w:after="100" w:afterAutospacing="1" w:line="360" w:lineRule="auto"/>
        <w:ind w:right="-164"/>
        <w:jc w:val="both"/>
        <w:rPr>
          <w:rFonts w:ascii="Palatino Linotype" w:eastAsia="Calibri" w:hAnsi="Palatino Linotype" w:cs="Arial"/>
          <w:b/>
          <w:color w:val="000000"/>
        </w:rPr>
      </w:pPr>
      <w:r w:rsidRPr="00683A81">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C47A0">
        <w:rPr>
          <w:rFonts w:ascii="Palatino Linotype" w:hAnsi="Palatino Linotype" w:cs="Arial"/>
          <w:b/>
        </w:rPr>
        <w:t xml:space="preserve">CUADRAGÉSIMA PRIMERA </w:t>
      </w:r>
      <w:r w:rsidRPr="00683A81">
        <w:rPr>
          <w:rFonts w:ascii="Palatino Linotype" w:hAnsi="Palatino Linotype" w:cs="Arial"/>
          <w:b/>
        </w:rPr>
        <w:t xml:space="preserve">SESIÓN ORDINARIA DEL </w:t>
      </w:r>
      <w:r w:rsidR="003C47A0">
        <w:rPr>
          <w:rFonts w:ascii="Palatino Linotype" w:hAnsi="Palatino Linotype" w:cs="Arial"/>
          <w:b/>
        </w:rPr>
        <w:t xml:space="preserve">SIETE </w:t>
      </w:r>
      <w:r w:rsidR="00AF3382" w:rsidRPr="00683A81">
        <w:rPr>
          <w:rFonts w:ascii="Palatino Linotype" w:hAnsi="Palatino Linotype" w:cs="Arial"/>
          <w:b/>
        </w:rPr>
        <w:t xml:space="preserve">DE </w:t>
      </w:r>
      <w:r w:rsidR="003C47A0">
        <w:rPr>
          <w:rFonts w:ascii="Palatino Linotype" w:hAnsi="Palatino Linotype" w:cs="Arial"/>
          <w:b/>
        </w:rPr>
        <w:t>NOVIEMBRE</w:t>
      </w:r>
      <w:r w:rsidR="00B85432">
        <w:rPr>
          <w:rFonts w:ascii="Palatino Linotype" w:hAnsi="Palatino Linotype" w:cs="Arial"/>
          <w:b/>
        </w:rPr>
        <w:t xml:space="preserve"> </w:t>
      </w:r>
      <w:r w:rsidRPr="00683A81">
        <w:rPr>
          <w:rFonts w:ascii="Palatino Linotype" w:hAnsi="Palatino Linotype" w:cs="Arial"/>
          <w:b/>
        </w:rPr>
        <w:t>DE DOS MIL DIECI</w:t>
      </w:r>
      <w:r w:rsidR="00B85432">
        <w:rPr>
          <w:rFonts w:ascii="Palatino Linotype" w:hAnsi="Palatino Linotype" w:cs="Arial"/>
          <w:b/>
        </w:rPr>
        <w:t>OCHO</w:t>
      </w:r>
      <w:r w:rsidR="003C47A0">
        <w:rPr>
          <w:rFonts w:ascii="Palatino Linotype" w:hAnsi="Palatino Linotype" w:cs="Arial"/>
          <w:b/>
        </w:rPr>
        <w:t>, EN EL RECURSO DE REVISIÓN 03616</w:t>
      </w:r>
      <w:r w:rsidR="00B85432">
        <w:rPr>
          <w:rFonts w:ascii="Palatino Linotype" w:hAnsi="Palatino Linotype" w:cs="Arial"/>
          <w:b/>
        </w:rPr>
        <w:t>/INFOEM/IP/RR/2018</w:t>
      </w:r>
      <w:r w:rsidRPr="00683A81">
        <w:rPr>
          <w:rFonts w:ascii="Palatino Linotype" w:eastAsia="Calibri" w:hAnsi="Palatino Linotype" w:cs="Arial"/>
          <w:b/>
          <w:color w:val="000000"/>
        </w:rPr>
        <w:t>.</w:t>
      </w:r>
    </w:p>
    <w:p w:rsidR="00F7009C" w:rsidRPr="00683A81" w:rsidRDefault="00F7009C" w:rsidP="00A85A7B">
      <w:pPr>
        <w:spacing w:before="100" w:beforeAutospacing="1" w:after="100" w:afterAutospacing="1" w:line="360" w:lineRule="auto"/>
        <w:jc w:val="both"/>
        <w:rPr>
          <w:rFonts w:ascii="Palatino Linotype" w:hAnsi="Palatino Linotype" w:cs="Arial"/>
        </w:rPr>
      </w:pPr>
      <w:r w:rsidRPr="00683A81">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83A81">
        <w:rPr>
          <w:rFonts w:ascii="Palatino Linotype" w:hAnsi="Palatino Linotype" w:cs="Arial"/>
          <w:b/>
          <w:lang w:val="es-ES_tradnl"/>
        </w:rPr>
        <w:t xml:space="preserve"> </w:t>
      </w:r>
      <w:r w:rsidRPr="00683A81">
        <w:rPr>
          <w:rFonts w:ascii="Palatino Linotype" w:hAnsi="Palatino Linotype" w:cs="Arial"/>
          <w:b/>
        </w:rPr>
        <w:t xml:space="preserve">EVA ABAID YAPUR </w:t>
      </w:r>
      <w:r w:rsidRPr="00683A81">
        <w:rPr>
          <w:rFonts w:ascii="Palatino Linotype" w:hAnsi="Palatino Linotype" w:cs="Arial"/>
        </w:rPr>
        <w:t xml:space="preserve">emite </w:t>
      </w:r>
      <w:r w:rsidRPr="00683A81">
        <w:rPr>
          <w:rFonts w:ascii="Palatino Linotype" w:hAnsi="Palatino Linotype" w:cs="Arial"/>
          <w:b/>
        </w:rPr>
        <w:t xml:space="preserve">VOTO PARTICULAR </w:t>
      </w:r>
      <w:r w:rsidRPr="00683A81">
        <w:rPr>
          <w:rFonts w:ascii="Palatino Linotype" w:hAnsi="Palatino Linotype" w:cs="Arial"/>
        </w:rPr>
        <w:t xml:space="preserve">respecto de la resolución dictada en el recurso de revisión </w:t>
      </w:r>
      <w:r w:rsidR="003C47A0">
        <w:rPr>
          <w:rFonts w:ascii="Palatino Linotype" w:hAnsi="Palatino Linotype" w:cs="Arial"/>
          <w:b/>
        </w:rPr>
        <w:t>03616</w:t>
      </w:r>
      <w:r w:rsidR="00B85432">
        <w:rPr>
          <w:rFonts w:ascii="Palatino Linotype" w:hAnsi="Palatino Linotype" w:cs="Arial"/>
          <w:b/>
        </w:rPr>
        <w:t>/INFOEM/IP/RR/2018</w:t>
      </w:r>
      <w:r w:rsidRPr="00683A81">
        <w:rPr>
          <w:rFonts w:ascii="Palatino Linotype" w:eastAsia="Calibri" w:hAnsi="Palatino Linotype" w:cs="Arial"/>
          <w:b/>
          <w:color w:val="000000"/>
        </w:rPr>
        <w:t>,</w:t>
      </w:r>
      <w:r w:rsidRPr="00683A81">
        <w:rPr>
          <w:rFonts w:ascii="Palatino Linotype" w:hAnsi="Palatino Linotype"/>
          <w:b/>
          <w:bCs/>
        </w:rPr>
        <w:t xml:space="preserve"> </w:t>
      </w:r>
      <w:r w:rsidRPr="00683A81">
        <w:rPr>
          <w:rFonts w:ascii="Palatino Linotype" w:hAnsi="Palatino Linotype" w:cs="Arial"/>
        </w:rPr>
        <w:t>pronunciada por el Pleno de este Instituto a</w:t>
      </w:r>
      <w:r w:rsidR="00B85432">
        <w:rPr>
          <w:rFonts w:ascii="Palatino Linotype" w:hAnsi="Palatino Linotype" w:cs="Arial"/>
        </w:rPr>
        <w:t xml:space="preserve">nte el proyecto presentado por </w:t>
      </w:r>
      <w:r w:rsidR="003C47A0">
        <w:rPr>
          <w:rFonts w:ascii="Palatino Linotype" w:hAnsi="Palatino Linotype" w:cs="Arial"/>
        </w:rPr>
        <w:t>e</w:t>
      </w:r>
      <w:r w:rsidRPr="00683A81">
        <w:rPr>
          <w:rFonts w:ascii="Palatino Linotype" w:hAnsi="Palatino Linotype" w:cs="Arial"/>
        </w:rPr>
        <w:t>l</w:t>
      </w:r>
      <w:r w:rsidR="003C47A0">
        <w:rPr>
          <w:rFonts w:ascii="Palatino Linotype" w:hAnsi="Palatino Linotype" w:cs="Arial"/>
        </w:rPr>
        <w:t xml:space="preserve"> Comisionado</w:t>
      </w:r>
      <w:r w:rsidR="00B85432">
        <w:rPr>
          <w:rFonts w:ascii="Palatino Linotype" w:hAnsi="Palatino Linotype" w:cs="Arial"/>
        </w:rPr>
        <w:t xml:space="preserve"> </w:t>
      </w:r>
      <w:r w:rsidR="003C47A0">
        <w:rPr>
          <w:rFonts w:ascii="Palatino Linotype" w:hAnsi="Palatino Linotype" w:cs="Arial"/>
          <w:b/>
        </w:rPr>
        <w:t>LUIS GUSTAVO PARRA NORIEGA</w:t>
      </w:r>
      <w:r w:rsidR="00161C25">
        <w:rPr>
          <w:rFonts w:ascii="Palatino Linotype" w:hAnsi="Palatino Linotype" w:cs="Arial"/>
        </w:rPr>
        <w:t>, que es del tenor siguiente.</w:t>
      </w:r>
    </w:p>
    <w:p w:rsidR="00F7009C" w:rsidRPr="00683A81" w:rsidRDefault="00F7009C" w:rsidP="00A85A7B">
      <w:pPr>
        <w:spacing w:before="100" w:beforeAutospacing="1" w:after="100" w:afterAutospacing="1" w:line="360" w:lineRule="auto"/>
        <w:jc w:val="both"/>
        <w:rPr>
          <w:rFonts w:ascii="Palatino Linotype" w:hAnsi="Palatino Linotype"/>
        </w:rPr>
      </w:pPr>
      <w:r w:rsidRPr="00683A81">
        <w:rPr>
          <w:rFonts w:ascii="Palatino Linotype" w:hAnsi="Palatino Linotype"/>
        </w:rPr>
        <w:t xml:space="preserve">Es de destacar, que la suscrita comparte el sentido de la resolución del recurso de revisión; empero, considero necesario precisar algunas </w:t>
      </w:r>
      <w:r w:rsidR="00161C25">
        <w:rPr>
          <w:rFonts w:ascii="Palatino Linotype" w:hAnsi="Palatino Linotype"/>
        </w:rPr>
        <w:t>razones</w:t>
      </w:r>
      <w:r w:rsidRPr="00683A81">
        <w:rPr>
          <w:rFonts w:ascii="Palatino Linotype" w:hAnsi="Palatino Linotype"/>
        </w:rPr>
        <w:t xml:space="preserve"> de hecho y de derecho, tocante al</w:t>
      </w:r>
      <w:r w:rsidR="0081298B">
        <w:rPr>
          <w:rFonts w:ascii="Palatino Linotype" w:hAnsi="Palatino Linotype"/>
        </w:rPr>
        <w:t xml:space="preserve"> resolutivo </w:t>
      </w:r>
      <w:r w:rsidR="003C47A0">
        <w:rPr>
          <w:rFonts w:ascii="Palatino Linotype" w:hAnsi="Palatino Linotype"/>
        </w:rPr>
        <w:t xml:space="preserve">Tercero </w:t>
      </w:r>
      <w:r w:rsidR="0081298B">
        <w:rPr>
          <w:rFonts w:ascii="Palatino Linotype" w:hAnsi="Palatino Linotype"/>
        </w:rPr>
        <w:t>de</w:t>
      </w:r>
      <w:r w:rsidR="00D16EA1" w:rsidRPr="00683A81">
        <w:rPr>
          <w:rFonts w:ascii="Palatino Linotype" w:hAnsi="Palatino Linotype"/>
        </w:rPr>
        <w:t xml:space="preserve"> </w:t>
      </w:r>
      <w:r w:rsidRPr="00683A81">
        <w:rPr>
          <w:rFonts w:ascii="Palatino Linotype" w:hAnsi="Palatino Linotype"/>
        </w:rPr>
        <w:t>la resolución correspondiente.</w:t>
      </w:r>
    </w:p>
    <w:p w:rsidR="00B85432" w:rsidRPr="00B85432" w:rsidRDefault="00F7009C" w:rsidP="00A85A7B">
      <w:pPr>
        <w:spacing w:before="100" w:beforeAutospacing="1" w:after="100" w:afterAutospacing="1" w:line="360" w:lineRule="auto"/>
        <w:jc w:val="both"/>
        <w:rPr>
          <w:rFonts w:ascii="Palatino Linotype" w:hAnsi="Palatino Linotype"/>
        </w:rPr>
      </w:pPr>
      <w:r w:rsidRPr="00683A81">
        <w:rPr>
          <w:rFonts w:ascii="Palatino Linotype" w:hAnsi="Palatino Linotype"/>
        </w:rPr>
        <w:t>Al respecto, tal y como quedó debidamente asentado en la resolución materia del presente voto, l</w:t>
      </w:r>
      <w:r w:rsidR="003C47A0">
        <w:rPr>
          <w:rFonts w:ascii="Palatino Linotype" w:hAnsi="Palatino Linotype"/>
        </w:rPr>
        <w:t>a</w:t>
      </w:r>
      <w:r w:rsidRPr="00683A81">
        <w:rPr>
          <w:rFonts w:ascii="Palatino Linotype" w:hAnsi="Palatino Linotype"/>
        </w:rPr>
        <w:t xml:space="preserve"> particular requirió </w:t>
      </w:r>
      <w:r w:rsidR="00B85432">
        <w:rPr>
          <w:rFonts w:ascii="Palatino Linotype" w:hAnsi="Palatino Linotype"/>
        </w:rPr>
        <w:t>de</w:t>
      </w:r>
      <w:r w:rsidR="003C47A0">
        <w:rPr>
          <w:rFonts w:ascii="Palatino Linotype" w:hAnsi="Palatino Linotype"/>
        </w:rPr>
        <w:t xml:space="preserve"> </w:t>
      </w:r>
      <w:r w:rsidR="00B85432">
        <w:rPr>
          <w:rFonts w:ascii="Palatino Linotype" w:hAnsi="Palatino Linotype"/>
        </w:rPr>
        <w:t>l</w:t>
      </w:r>
      <w:r w:rsidR="003C47A0">
        <w:rPr>
          <w:rFonts w:ascii="Palatino Linotype" w:hAnsi="Palatino Linotype"/>
        </w:rPr>
        <w:t xml:space="preserve">a </w:t>
      </w:r>
      <w:r w:rsidR="003C47A0" w:rsidRPr="003C47A0">
        <w:rPr>
          <w:rFonts w:ascii="Palatino Linotype" w:hAnsi="Palatino Linotype"/>
          <w:b/>
        </w:rPr>
        <w:t>Universidad Politécnica del Valle de Toluca</w:t>
      </w:r>
      <w:r w:rsidR="00B85432">
        <w:rPr>
          <w:rFonts w:ascii="Palatino Linotype" w:hAnsi="Palatino Linotype"/>
        </w:rPr>
        <w:t xml:space="preserve">, en lo sucesivo </w:t>
      </w:r>
      <w:r w:rsidR="00B85432">
        <w:rPr>
          <w:rFonts w:ascii="Palatino Linotype" w:hAnsi="Palatino Linotype"/>
          <w:b/>
        </w:rPr>
        <w:t>EL</w:t>
      </w:r>
      <w:r w:rsidRPr="00683A81">
        <w:rPr>
          <w:rFonts w:ascii="Palatino Linotype" w:hAnsi="Palatino Linotype"/>
        </w:rPr>
        <w:t xml:space="preserve"> </w:t>
      </w:r>
      <w:r w:rsidRPr="00683A81">
        <w:rPr>
          <w:rFonts w:ascii="Palatino Linotype" w:hAnsi="Palatino Linotype"/>
          <w:b/>
        </w:rPr>
        <w:t xml:space="preserve">SUJETO OBLIGADO, </w:t>
      </w:r>
      <w:r w:rsidR="005202B6" w:rsidRPr="005202B6">
        <w:rPr>
          <w:rFonts w:ascii="Palatino Linotype" w:hAnsi="Palatino Linotype"/>
          <w:i/>
        </w:rPr>
        <w:t xml:space="preserve">“De acuerdo a su página de </w:t>
      </w:r>
      <w:proofErr w:type="spellStart"/>
      <w:r w:rsidR="005202B6" w:rsidRPr="005202B6">
        <w:rPr>
          <w:rFonts w:ascii="Palatino Linotype" w:hAnsi="Palatino Linotype"/>
          <w:i/>
        </w:rPr>
        <w:t>face</w:t>
      </w:r>
      <w:proofErr w:type="spellEnd"/>
      <w:r w:rsidR="005202B6" w:rsidRPr="005202B6">
        <w:rPr>
          <w:rFonts w:ascii="Palatino Linotype" w:hAnsi="Palatino Linotype"/>
          <w:i/>
        </w:rPr>
        <w:t xml:space="preserve">, suben vacantes </w:t>
      </w:r>
      <w:r w:rsidR="005202B6" w:rsidRPr="005202B6">
        <w:rPr>
          <w:rFonts w:ascii="Palatino Linotype" w:hAnsi="Palatino Linotype"/>
          <w:i/>
        </w:rPr>
        <w:lastRenderedPageBreak/>
        <w:t xml:space="preserve">para alumnos y egresados, quiero el listado y todas las </w:t>
      </w:r>
      <w:proofErr w:type="spellStart"/>
      <w:r w:rsidR="005202B6" w:rsidRPr="005202B6">
        <w:rPr>
          <w:rFonts w:ascii="Palatino Linotype" w:hAnsi="Palatino Linotype"/>
          <w:i/>
        </w:rPr>
        <w:t>imagenes</w:t>
      </w:r>
      <w:proofErr w:type="spellEnd"/>
      <w:r w:rsidR="005202B6" w:rsidRPr="005202B6">
        <w:rPr>
          <w:rFonts w:ascii="Palatino Linotype" w:hAnsi="Palatino Linotype"/>
          <w:i/>
        </w:rPr>
        <w:t xml:space="preserve"> que se tienen integradas en ese apartado indicando cuantas vacantes se concretaron, </w:t>
      </w:r>
      <w:proofErr w:type="spellStart"/>
      <w:r w:rsidR="005202B6" w:rsidRPr="005202B6">
        <w:rPr>
          <w:rFonts w:ascii="Palatino Linotype" w:hAnsi="Palatino Linotype"/>
          <w:i/>
        </w:rPr>
        <w:t>osea</w:t>
      </w:r>
      <w:proofErr w:type="spellEnd"/>
      <w:r w:rsidR="005202B6" w:rsidRPr="005202B6">
        <w:rPr>
          <w:rFonts w:ascii="Palatino Linotype" w:hAnsi="Palatino Linotype"/>
          <w:i/>
        </w:rPr>
        <w:t>, si los alumnos pudieron ingresar (vinculación lleva eso)</w:t>
      </w:r>
      <w:r w:rsidR="005202B6">
        <w:rPr>
          <w:rFonts w:ascii="Palatino Linotype" w:hAnsi="Palatino Linotype"/>
          <w:i/>
        </w:rPr>
        <w:t>” (Sic)</w:t>
      </w:r>
    </w:p>
    <w:p w:rsidR="00B77203" w:rsidRDefault="00F7009C" w:rsidP="00A85A7B">
      <w:pPr>
        <w:spacing w:before="100" w:beforeAutospacing="1" w:after="100" w:afterAutospacing="1" w:line="360" w:lineRule="auto"/>
        <w:jc w:val="both"/>
        <w:rPr>
          <w:rFonts w:ascii="Palatino Linotype" w:hAnsi="Palatino Linotype" w:cs="Arial"/>
        </w:rPr>
      </w:pPr>
      <w:r w:rsidRPr="00683A81">
        <w:rPr>
          <w:rFonts w:ascii="Palatino Linotype" w:hAnsi="Palatino Linotype" w:cs="Arial"/>
        </w:rPr>
        <w:t xml:space="preserve">De las constancias que obran en el </w:t>
      </w:r>
      <w:r w:rsidRPr="00683A81">
        <w:rPr>
          <w:rFonts w:ascii="Palatino Linotype" w:hAnsi="Palatino Linotype" w:cs="Arial"/>
          <w:b/>
        </w:rPr>
        <w:t>SAIMEX</w:t>
      </w:r>
      <w:r w:rsidRPr="003F4F72">
        <w:rPr>
          <w:rFonts w:ascii="Palatino Linotype" w:hAnsi="Palatino Linotype" w:cs="Arial"/>
        </w:rPr>
        <w:t>,</w:t>
      </w:r>
      <w:r w:rsidRPr="00683A81">
        <w:rPr>
          <w:rFonts w:ascii="Palatino Linotype" w:hAnsi="Palatino Linotype" w:cs="Arial"/>
          <w:b/>
        </w:rPr>
        <w:t xml:space="preserve"> </w:t>
      </w:r>
      <w:r w:rsidR="003F4F72">
        <w:rPr>
          <w:rFonts w:ascii="Palatino Linotype" w:hAnsi="Palatino Linotype" w:cs="Arial"/>
        </w:rPr>
        <w:t>se advierte que</w:t>
      </w:r>
      <w:r w:rsidRPr="00683A81">
        <w:rPr>
          <w:rFonts w:ascii="Palatino Linotype" w:hAnsi="Palatino Linotype" w:cs="Arial"/>
        </w:rPr>
        <w:t xml:space="preserve"> </w:t>
      </w:r>
      <w:r w:rsidRPr="00683A81">
        <w:rPr>
          <w:rFonts w:ascii="Palatino Linotype" w:hAnsi="Palatino Linotype" w:cs="Arial"/>
          <w:b/>
        </w:rPr>
        <w:t>EL SUJETO OBLIGADO</w:t>
      </w:r>
      <w:r w:rsidRPr="00683A81">
        <w:rPr>
          <w:rFonts w:ascii="Palatino Linotype" w:hAnsi="Palatino Linotype" w:cs="Arial"/>
        </w:rPr>
        <w:t xml:space="preserve"> hizo mención en su respuesta, </w:t>
      </w:r>
      <w:r w:rsidR="004F0BA3" w:rsidRPr="00683A81">
        <w:rPr>
          <w:rFonts w:ascii="Palatino Linotype" w:hAnsi="Palatino Linotype" w:cs="Arial"/>
        </w:rPr>
        <w:t>que</w:t>
      </w:r>
      <w:r w:rsidR="00B77203">
        <w:rPr>
          <w:rFonts w:ascii="Palatino Linotype" w:hAnsi="Palatino Linotype" w:cs="Arial"/>
        </w:rPr>
        <w:t xml:space="preserve"> </w:t>
      </w:r>
      <w:r w:rsidR="00B77203" w:rsidRPr="00853205">
        <w:rPr>
          <w:rFonts w:ascii="Palatino Linotype" w:hAnsi="Palatino Linotype" w:cs="Tahoma"/>
        </w:rPr>
        <w:t>no genera ni posee ningún listado de dicha información, ya que atendiendo la función de vinculación se realizan actividades de difusión de vacantes para la comu</w:t>
      </w:r>
      <w:r w:rsidR="003F4F72">
        <w:rPr>
          <w:rFonts w:ascii="Palatino Linotype" w:hAnsi="Palatino Linotype" w:cs="Tahoma"/>
        </w:rPr>
        <w:t>nidad universitaria, mediante los</w:t>
      </w:r>
      <w:r w:rsidR="00B77203" w:rsidRPr="00853205">
        <w:rPr>
          <w:rFonts w:ascii="Palatino Linotype" w:hAnsi="Palatino Linotype" w:cs="Tahoma"/>
        </w:rPr>
        <w:t xml:space="preserve"> </w:t>
      </w:r>
      <w:r w:rsidR="003F4F72">
        <w:rPr>
          <w:rFonts w:ascii="Palatino Linotype" w:hAnsi="Palatino Linotype" w:cs="Tahoma"/>
        </w:rPr>
        <w:t xml:space="preserve">datos </w:t>
      </w:r>
      <w:r w:rsidR="00B77203" w:rsidRPr="00853205">
        <w:rPr>
          <w:rFonts w:ascii="Palatino Linotype" w:hAnsi="Palatino Linotype" w:cs="Tahoma"/>
        </w:rPr>
        <w:t>que proporcionan, solicitan y autorizan diferentes empresas; por lo que dicha página oficial de Facebook de esta Cas</w:t>
      </w:r>
      <w:r w:rsidR="003F4F72">
        <w:rPr>
          <w:rFonts w:ascii="Palatino Linotype" w:hAnsi="Palatino Linotype" w:cs="Tahoma"/>
        </w:rPr>
        <w:t>a de Estudios fue creada por dicha</w:t>
      </w:r>
      <w:r w:rsidR="00B77203" w:rsidRPr="00853205">
        <w:rPr>
          <w:rFonts w:ascii="Palatino Linotype" w:hAnsi="Palatino Linotype" w:cs="Tahoma"/>
        </w:rPr>
        <w:t xml:space="preserve"> administración en el mes de enero del año en curso, </w:t>
      </w:r>
      <w:r w:rsidR="00B77203">
        <w:rPr>
          <w:rFonts w:ascii="Palatino Linotype" w:hAnsi="Palatino Linotype" w:cs="Tahoma"/>
        </w:rPr>
        <w:t xml:space="preserve">señalando así el </w:t>
      </w:r>
      <w:r w:rsidR="00B77203" w:rsidRPr="00853205">
        <w:rPr>
          <w:rFonts w:ascii="Palatino Linotype" w:hAnsi="Palatino Linotype" w:cs="Tahoma"/>
        </w:rPr>
        <w:t>siguiente</w:t>
      </w:r>
      <w:r w:rsidR="00B77203">
        <w:rPr>
          <w:rFonts w:ascii="Palatino Linotype" w:hAnsi="Palatino Linotype" w:cs="Tahoma"/>
        </w:rPr>
        <w:t xml:space="preserve"> link </w:t>
      </w:r>
      <w:hyperlink r:id="rId8" w:history="1">
        <w:r w:rsidR="00B77203" w:rsidRPr="00423153">
          <w:rPr>
            <w:rStyle w:val="Hipervnculo"/>
            <w:rFonts w:ascii="Palatino Linotype" w:hAnsi="Palatino Linotype" w:cs="Tahoma"/>
          </w:rPr>
          <w:t>https://www.facebook.com/UPValleDeToluca/</w:t>
        </w:r>
      </w:hyperlink>
      <w:r w:rsidR="00B77203">
        <w:rPr>
          <w:rFonts w:ascii="Palatino Linotype" w:hAnsi="Palatino Linotype" w:cs="Tahoma"/>
        </w:rPr>
        <w:t xml:space="preserve"> para su consulta. </w:t>
      </w:r>
    </w:p>
    <w:p w:rsidR="00B77203" w:rsidRDefault="00B77203" w:rsidP="00A85A7B">
      <w:pPr>
        <w:spacing w:before="100" w:beforeAutospacing="1" w:after="100" w:afterAutospacing="1" w:line="360" w:lineRule="auto"/>
        <w:jc w:val="both"/>
        <w:rPr>
          <w:rFonts w:ascii="Palatino Linotype" w:hAnsi="Palatino Linotype"/>
          <w:color w:val="000000"/>
          <w:lang w:eastAsia="es-MX"/>
        </w:rPr>
      </w:pPr>
      <w:r w:rsidRPr="00B77203">
        <w:rPr>
          <w:rFonts w:ascii="Palatino Linotype" w:hAnsi="Palatino Linotype"/>
          <w:color w:val="000000"/>
          <w:lang w:eastAsia="es-MX"/>
        </w:rPr>
        <w:t xml:space="preserve">En ese tenor, </w:t>
      </w:r>
      <w:r w:rsidRPr="00B77203">
        <w:rPr>
          <w:rFonts w:ascii="Palatino Linotype" w:hAnsi="Palatino Linotype"/>
          <w:b/>
          <w:color w:val="000000"/>
          <w:lang w:eastAsia="es-MX"/>
        </w:rPr>
        <w:t>L</w:t>
      </w:r>
      <w:r>
        <w:rPr>
          <w:rFonts w:ascii="Palatino Linotype" w:hAnsi="Palatino Linotype"/>
          <w:b/>
          <w:color w:val="000000"/>
          <w:lang w:eastAsia="es-MX"/>
        </w:rPr>
        <w:t>A</w:t>
      </w:r>
      <w:r w:rsidRPr="00B77203">
        <w:rPr>
          <w:rFonts w:ascii="Palatino Linotype" w:hAnsi="Palatino Linotype"/>
          <w:b/>
          <w:color w:val="000000"/>
          <w:lang w:eastAsia="es-MX"/>
        </w:rPr>
        <w:t xml:space="preserve"> RECURRENTE</w:t>
      </w:r>
      <w:r w:rsidRPr="00B77203">
        <w:rPr>
          <w:rFonts w:ascii="Palatino Linotype" w:hAnsi="Palatino Linotype"/>
          <w:color w:val="000000"/>
          <w:lang w:eastAsia="es-MX"/>
        </w:rPr>
        <w:t xml:space="preserve"> inconforme con la respuesta otorgada por </w:t>
      </w:r>
      <w:r w:rsidRPr="00B77203">
        <w:rPr>
          <w:rFonts w:ascii="Palatino Linotype" w:hAnsi="Palatino Linotype"/>
          <w:b/>
          <w:color w:val="000000"/>
          <w:lang w:eastAsia="es-MX"/>
        </w:rPr>
        <w:t>EL SUJETO OBLIGADO</w:t>
      </w:r>
      <w:r w:rsidRPr="00B77203">
        <w:rPr>
          <w:rFonts w:ascii="Palatino Linotype" w:hAnsi="Palatino Linotype"/>
          <w:color w:val="000000"/>
          <w:lang w:eastAsia="es-MX"/>
        </w:rPr>
        <w:t>, interpuso el recurso de revisión de mérito.</w:t>
      </w:r>
    </w:p>
    <w:p w:rsidR="006D21B1" w:rsidRDefault="00F7009C" w:rsidP="00A85A7B">
      <w:pPr>
        <w:spacing w:before="100" w:beforeAutospacing="1" w:after="100" w:afterAutospacing="1" w:line="360" w:lineRule="auto"/>
        <w:jc w:val="both"/>
        <w:rPr>
          <w:rFonts w:ascii="Palatino Linotype" w:hAnsi="Palatino Linotype" w:cs="Arial"/>
          <w:b/>
        </w:rPr>
      </w:pPr>
      <w:r w:rsidRPr="00683A81">
        <w:rPr>
          <w:rFonts w:ascii="Palatino Linotype" w:hAnsi="Palatino Linotype" w:cs="Arial"/>
        </w:rPr>
        <w:t xml:space="preserve">Así, del </w:t>
      </w:r>
      <w:r w:rsidR="004E729A">
        <w:rPr>
          <w:rFonts w:ascii="Palatino Linotype" w:hAnsi="Palatino Linotype" w:cs="Arial"/>
        </w:rPr>
        <w:t>análisis</w:t>
      </w:r>
      <w:r w:rsidRPr="00683A81">
        <w:rPr>
          <w:rFonts w:ascii="Palatino Linotype" w:hAnsi="Palatino Linotype" w:cs="Arial"/>
        </w:rPr>
        <w:t xml:space="preserve"> de</w:t>
      </w:r>
      <w:r w:rsidR="004E729A">
        <w:rPr>
          <w:rFonts w:ascii="Palatino Linotype" w:hAnsi="Palatino Linotype" w:cs="Arial"/>
        </w:rPr>
        <w:t xml:space="preserve"> las constancias que conforman el </w:t>
      </w:r>
      <w:r w:rsidRPr="00683A81">
        <w:rPr>
          <w:rFonts w:ascii="Palatino Linotype" w:hAnsi="Palatino Linotype" w:cs="Arial"/>
        </w:rPr>
        <w:t>expediente electrónico</w:t>
      </w:r>
      <w:r w:rsidRPr="00683A81">
        <w:rPr>
          <w:rFonts w:ascii="Palatino Linotype" w:hAnsi="Palatino Linotype" w:cs="Arial"/>
          <w:b/>
        </w:rPr>
        <w:t>,</w:t>
      </w:r>
      <w:r w:rsidRPr="00683A81">
        <w:rPr>
          <w:rFonts w:ascii="Palatino Linotype" w:hAnsi="Palatino Linotype" w:cs="Arial"/>
        </w:rPr>
        <w:t xml:space="preserve"> la Ponencia </w:t>
      </w:r>
      <w:proofErr w:type="spellStart"/>
      <w:r w:rsidRPr="00683A81">
        <w:rPr>
          <w:rFonts w:ascii="Palatino Linotype" w:hAnsi="Palatino Linotype" w:cs="Arial"/>
        </w:rPr>
        <w:t>Resolutora</w:t>
      </w:r>
      <w:proofErr w:type="spellEnd"/>
      <w:r w:rsidRPr="00683A81">
        <w:rPr>
          <w:rFonts w:ascii="Palatino Linotype" w:hAnsi="Palatino Linotype" w:cs="Arial"/>
        </w:rPr>
        <w:t xml:space="preserve"> determinó </w:t>
      </w:r>
      <w:r w:rsidR="006D21B1">
        <w:rPr>
          <w:rFonts w:ascii="Palatino Linotype" w:hAnsi="Palatino Linotype" w:cs="Arial"/>
          <w:b/>
        </w:rPr>
        <w:t>CONFIRMAR</w:t>
      </w:r>
      <w:r w:rsidRPr="00683A81">
        <w:rPr>
          <w:rFonts w:ascii="Palatino Linotype" w:hAnsi="Palatino Linotype" w:cs="Arial"/>
          <w:b/>
        </w:rPr>
        <w:t xml:space="preserve"> </w:t>
      </w:r>
      <w:r w:rsidRPr="00683A81">
        <w:rPr>
          <w:rFonts w:ascii="Palatino Linotype" w:hAnsi="Palatino Linotype" w:cs="Arial"/>
        </w:rPr>
        <w:t xml:space="preserve">la respuesta del </w:t>
      </w:r>
      <w:r w:rsidRPr="00683A81">
        <w:rPr>
          <w:rFonts w:ascii="Palatino Linotype" w:hAnsi="Palatino Linotype" w:cs="Arial"/>
          <w:b/>
        </w:rPr>
        <w:t>SUJETO OBLIGADO</w:t>
      </w:r>
      <w:r w:rsidR="006D21B1">
        <w:rPr>
          <w:rFonts w:ascii="Palatino Linotype" w:hAnsi="Palatino Linotype" w:cs="Arial"/>
          <w:b/>
        </w:rPr>
        <w:t>.</w:t>
      </w:r>
    </w:p>
    <w:p w:rsidR="00DD519D" w:rsidRPr="00BE68E2" w:rsidRDefault="00DD519D" w:rsidP="00DD519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orden de ideas</w:t>
      </w:r>
      <w:r w:rsidRPr="00BE68E2">
        <w:rPr>
          <w:rFonts w:ascii="Palatino Linotype" w:hAnsi="Palatino Linotype" w:cs="Arial"/>
        </w:rPr>
        <w:t>, la que suscribe reitera, que si bien coincide en términos generales con el sentido de la resolución en comento</w:t>
      </w:r>
      <w:r>
        <w:rPr>
          <w:rFonts w:ascii="Palatino Linotype" w:hAnsi="Palatino Linotype" w:cs="Arial"/>
        </w:rPr>
        <w:t>;</w:t>
      </w:r>
      <w:r w:rsidRPr="00BE68E2">
        <w:rPr>
          <w:rFonts w:ascii="Palatino Linotype" w:hAnsi="Palatino Linotype" w:cs="Arial"/>
        </w:rPr>
        <w:t xml:space="preserve"> considero, que no se encuadra la hipótesis contenida en los artículos 159 y 160 de la Ley General de Transparencia y Acceso a la Información Pública citados por la Ponencia </w:t>
      </w:r>
      <w:proofErr w:type="spellStart"/>
      <w:r w:rsidRPr="00BE68E2">
        <w:rPr>
          <w:rFonts w:ascii="Palatino Linotype" w:hAnsi="Palatino Linotype" w:cs="Arial"/>
        </w:rPr>
        <w:t>Resolutora</w:t>
      </w:r>
      <w:proofErr w:type="spellEnd"/>
      <w:r w:rsidRPr="00BE68E2">
        <w:rPr>
          <w:rFonts w:ascii="Palatino Linotype" w:hAnsi="Palatino Linotype" w:cs="Arial"/>
        </w:rPr>
        <w:t xml:space="preserve"> en el Resolutivo </w:t>
      </w:r>
      <w:r>
        <w:rPr>
          <w:rFonts w:ascii="Palatino Linotype" w:hAnsi="Palatino Linotype" w:cs="Arial"/>
        </w:rPr>
        <w:t>Tercero</w:t>
      </w:r>
      <w:r w:rsidRPr="00BE68E2">
        <w:rPr>
          <w:rFonts w:ascii="Palatino Linotype" w:hAnsi="Palatino Linotype" w:cs="Arial"/>
        </w:rPr>
        <w:t xml:space="preserve"> de la resolución de mérito, a fin de interponer el recurso de inconformidad </w:t>
      </w:r>
      <w:r w:rsidRPr="00BE68E2">
        <w:rPr>
          <w:rFonts w:ascii="Palatino Linotype" w:hAnsi="Palatino Linotype" w:cs="Arial"/>
        </w:rPr>
        <w:lastRenderedPageBreak/>
        <w:t>ante el Instituto Nacional de Transparencia, Acceso a la Información y Protección de Datos Personales.</w:t>
      </w:r>
    </w:p>
    <w:p w:rsidR="00DD519D" w:rsidRPr="008E441A" w:rsidRDefault="00DD519D" w:rsidP="00DD519D">
      <w:pPr>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rsidR="00DD519D" w:rsidRPr="009B6537" w:rsidRDefault="00DD519D" w:rsidP="00DD519D">
      <w:pPr>
        <w:ind w:left="851" w:right="902"/>
        <w:jc w:val="both"/>
        <w:rPr>
          <w:rFonts w:ascii="Palatino Linotype" w:hAnsi="Palatino Linotype"/>
          <w:i/>
          <w:sz w:val="22"/>
        </w:rPr>
      </w:pPr>
      <w:r w:rsidRPr="009B6537">
        <w:rPr>
          <w:rFonts w:ascii="Palatino Linotype" w:hAnsi="Palatino Linotype"/>
          <w:i/>
          <w:sz w:val="22"/>
        </w:rPr>
        <w:t>“</w:t>
      </w:r>
      <w:r w:rsidRPr="009B6537">
        <w:rPr>
          <w:rFonts w:ascii="Palatino Linotype" w:hAnsi="Palatino Linotype"/>
          <w:b/>
          <w:i/>
          <w:sz w:val="22"/>
        </w:rPr>
        <w:t>Artículo 159</w:t>
      </w:r>
      <w:r w:rsidRPr="009B6537">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DD519D" w:rsidRPr="009B6537" w:rsidRDefault="00DD519D" w:rsidP="00DD519D">
      <w:pPr>
        <w:ind w:left="851" w:right="902"/>
        <w:jc w:val="both"/>
        <w:rPr>
          <w:rFonts w:ascii="Palatino Linotype" w:hAnsi="Palatino Linotype"/>
          <w:i/>
          <w:sz w:val="22"/>
        </w:rPr>
      </w:pPr>
      <w:r w:rsidRPr="009B6537">
        <w:rPr>
          <w:rFonts w:ascii="Palatino Linotype" w:hAnsi="Palatino Linotype"/>
          <w:b/>
          <w:i/>
          <w:sz w:val="22"/>
        </w:rPr>
        <w:t>Artículo 160</w:t>
      </w:r>
      <w:r w:rsidRPr="009B6537">
        <w:rPr>
          <w:rFonts w:ascii="Palatino Linotype" w:hAnsi="Palatino Linotype"/>
          <w:i/>
          <w:sz w:val="22"/>
        </w:rPr>
        <w:t>. El recurso de inconformidad procede contra las resoluciones emitidas por los Organismos garantes de las Entidades Federativas que:</w:t>
      </w:r>
    </w:p>
    <w:p w:rsidR="00DD519D" w:rsidRPr="009B6537" w:rsidRDefault="00DD519D" w:rsidP="00DD519D">
      <w:pPr>
        <w:ind w:left="851" w:right="902"/>
        <w:jc w:val="both"/>
        <w:rPr>
          <w:rFonts w:ascii="Palatino Linotype" w:hAnsi="Palatino Linotype"/>
          <w:b/>
          <w:i/>
          <w:sz w:val="22"/>
        </w:rPr>
      </w:pPr>
      <w:r w:rsidRPr="006336B2">
        <w:rPr>
          <w:rFonts w:ascii="Palatino Linotype" w:hAnsi="Palatino Linotype"/>
          <w:b/>
          <w:i/>
          <w:sz w:val="22"/>
        </w:rPr>
        <w:t>I.</w:t>
      </w:r>
      <w:r w:rsidRPr="009B6537">
        <w:rPr>
          <w:rFonts w:ascii="Palatino Linotype" w:hAnsi="Palatino Linotype"/>
          <w:i/>
          <w:sz w:val="22"/>
        </w:rPr>
        <w:tab/>
      </w:r>
      <w:r w:rsidRPr="009B6537">
        <w:rPr>
          <w:rFonts w:ascii="Palatino Linotype" w:hAnsi="Palatino Linotype"/>
          <w:b/>
          <w:i/>
          <w:sz w:val="22"/>
        </w:rPr>
        <w:t>Confirmen o modifiquen la clasificación de la información, o</w:t>
      </w:r>
    </w:p>
    <w:p w:rsidR="00DD519D" w:rsidRPr="006336B2" w:rsidRDefault="00DD519D" w:rsidP="00DD519D">
      <w:pPr>
        <w:ind w:left="851" w:right="902"/>
        <w:jc w:val="both"/>
        <w:rPr>
          <w:rFonts w:ascii="Palatino Linotype" w:hAnsi="Palatino Linotype"/>
          <w:i/>
          <w:sz w:val="22"/>
        </w:rPr>
      </w:pPr>
      <w:r w:rsidRPr="00245C1F">
        <w:rPr>
          <w:rFonts w:ascii="Palatino Linotype" w:hAnsi="Palatino Linotype"/>
          <w:b/>
          <w:i/>
          <w:sz w:val="22"/>
        </w:rPr>
        <w:t>II.</w:t>
      </w:r>
      <w:r w:rsidRPr="006336B2">
        <w:rPr>
          <w:rFonts w:ascii="Palatino Linotype" w:hAnsi="Palatino Linotype"/>
          <w:i/>
          <w:sz w:val="22"/>
        </w:rPr>
        <w:tab/>
      </w:r>
      <w:r w:rsidRPr="00245C1F">
        <w:rPr>
          <w:rFonts w:ascii="Palatino Linotype" w:hAnsi="Palatino Linotype"/>
          <w:b/>
          <w:i/>
          <w:sz w:val="22"/>
        </w:rPr>
        <w:t>Confirmen la inexistencia o negativa de información.</w:t>
      </w:r>
    </w:p>
    <w:p w:rsidR="00DD519D" w:rsidRPr="009B6537" w:rsidRDefault="00DD519D" w:rsidP="00DD519D">
      <w:pPr>
        <w:ind w:left="851" w:right="902"/>
        <w:jc w:val="both"/>
        <w:rPr>
          <w:rFonts w:ascii="Palatino Linotype" w:hAnsi="Palatino Linotype"/>
          <w:i/>
          <w:sz w:val="22"/>
        </w:rPr>
      </w:pPr>
      <w:r w:rsidRPr="009B6537">
        <w:rPr>
          <w:rFonts w:ascii="Palatino Linotype" w:hAnsi="Palatino Linotype"/>
          <w:i/>
          <w:sz w:val="22"/>
        </w:rPr>
        <w:t>Se entenderá como negativa de acceso a la información la falta de resolución de los Organismos garantes de las Entidades Federativas dentro del plazo previsto para ello.”</w:t>
      </w:r>
    </w:p>
    <w:p w:rsidR="00DD519D" w:rsidRDefault="00DD519D" w:rsidP="00DD519D">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De lo anterior se advierte que, los artículos en cita no resultan aplicables al asunto en concreto, toda vez que </w:t>
      </w:r>
      <w:r w:rsidRPr="008E441A">
        <w:rPr>
          <w:rFonts w:ascii="Palatino Linotype" w:hAnsi="Palatino Linotype" w:cs="Arial"/>
          <w:b/>
        </w:rPr>
        <w:t>EL</w:t>
      </w:r>
      <w:r w:rsidRPr="008E441A">
        <w:rPr>
          <w:rFonts w:ascii="Palatino Linotype" w:hAnsi="Palatino Linotype" w:cs="Arial"/>
        </w:rPr>
        <w:t xml:space="preserve"> </w:t>
      </w:r>
      <w:r w:rsidRPr="008E441A">
        <w:rPr>
          <w:rFonts w:ascii="Palatino Linotype" w:hAnsi="Palatino Linotype" w:cs="Arial"/>
          <w:b/>
        </w:rPr>
        <w:t>SUJETO OBLIGADO</w:t>
      </w:r>
      <w:r w:rsidRPr="008E441A">
        <w:rPr>
          <w:rFonts w:ascii="Palatino Linotype" w:hAnsi="Palatino Linotype" w:cs="Arial"/>
        </w:rPr>
        <w:t xml:space="preserve"> en su respuesta, </w:t>
      </w:r>
      <w:r w:rsidR="008F684F">
        <w:rPr>
          <w:rFonts w:ascii="Palatino Linotype" w:hAnsi="Palatino Linotype" w:cs="Arial"/>
        </w:rPr>
        <w:t>señal</w:t>
      </w:r>
      <w:r w:rsidR="005F1986">
        <w:rPr>
          <w:rFonts w:ascii="Palatino Linotype" w:hAnsi="Palatino Linotype" w:cs="Arial"/>
        </w:rPr>
        <w:t>ó</w:t>
      </w:r>
      <w:r w:rsidR="008F684F">
        <w:rPr>
          <w:rFonts w:ascii="Palatino Linotype" w:hAnsi="Palatino Linotype" w:cs="Arial"/>
        </w:rPr>
        <w:t xml:space="preserve"> que no generaba, contaba ni poseía algún listado con la información solicitada</w:t>
      </w:r>
      <w:r w:rsidR="00FE3DC1">
        <w:rPr>
          <w:rFonts w:ascii="Palatino Linotype" w:hAnsi="Palatino Linotype" w:cs="Arial"/>
        </w:rPr>
        <w:t>, toda vez que no elaboraba un listado con las imágenes integrada</w:t>
      </w:r>
      <w:r w:rsidR="003F4F72">
        <w:rPr>
          <w:rFonts w:ascii="Palatino Linotype" w:hAnsi="Palatino Linotype" w:cs="Arial"/>
        </w:rPr>
        <w:t>s</w:t>
      </w:r>
      <w:r w:rsidR="00FE3DC1">
        <w:rPr>
          <w:rFonts w:ascii="Palatino Linotype" w:hAnsi="Palatino Linotype" w:cs="Arial"/>
        </w:rPr>
        <w:t xml:space="preserve"> en el apartado de vacantes de la </w:t>
      </w:r>
      <w:r w:rsidR="003F4F72">
        <w:rPr>
          <w:rFonts w:ascii="Palatino Linotype" w:hAnsi="Palatino Linotype" w:cs="Arial"/>
        </w:rPr>
        <w:t>página</w:t>
      </w:r>
      <w:r w:rsidR="00FE3DC1">
        <w:rPr>
          <w:rFonts w:ascii="Palatino Linotype" w:hAnsi="Palatino Linotype" w:cs="Arial"/>
        </w:rPr>
        <w:t xml:space="preserve"> de Facebook en donde se precise cuántas se concretaron</w:t>
      </w:r>
      <w:r w:rsidR="003F4F72">
        <w:rPr>
          <w:rFonts w:ascii="Palatino Linotype" w:hAnsi="Palatino Linotype" w:cs="Arial"/>
        </w:rPr>
        <w:t>;</w:t>
      </w:r>
      <w:r w:rsidR="00FE3DC1">
        <w:rPr>
          <w:rFonts w:ascii="Palatino Linotype" w:hAnsi="Palatino Linotype" w:cs="Arial"/>
        </w:rPr>
        <w:t xml:space="preserve"> por lo que</w:t>
      </w:r>
      <w:r w:rsidR="003F4F72">
        <w:rPr>
          <w:rFonts w:ascii="Palatino Linotype" w:hAnsi="Palatino Linotype" w:cs="Arial"/>
        </w:rPr>
        <w:t>,</w:t>
      </w:r>
      <w:r w:rsidR="00FE3DC1">
        <w:rPr>
          <w:rFonts w:ascii="Palatino Linotype" w:hAnsi="Palatino Linotype" w:cs="Arial"/>
        </w:rPr>
        <w:t xml:space="preserve"> refirió que </w:t>
      </w:r>
      <w:r w:rsidR="00FE3DC1">
        <w:rPr>
          <w:rFonts w:ascii="Palatino Linotype" w:hAnsi="Palatino Linotype" w:cs="Arial"/>
        </w:rPr>
        <w:lastRenderedPageBreak/>
        <w:t>era inexistente; sin embargo,</w:t>
      </w:r>
      <w:r w:rsidR="00244994">
        <w:rPr>
          <w:rFonts w:ascii="Palatino Linotype" w:hAnsi="Palatino Linotype" w:cs="Arial"/>
        </w:rPr>
        <w:t xml:space="preserve"> este Organismo garante</w:t>
      </w:r>
      <w:r w:rsidR="00FE3DC1">
        <w:rPr>
          <w:rFonts w:ascii="Palatino Linotype" w:hAnsi="Palatino Linotype" w:cs="Arial"/>
        </w:rPr>
        <w:t xml:space="preserve"> no</w:t>
      </w:r>
      <w:r w:rsidRPr="008E441A">
        <w:rPr>
          <w:rFonts w:ascii="Palatino Linotype" w:hAnsi="Palatino Linotype" w:cs="Arial"/>
        </w:rPr>
        <w:t xml:space="preserve"> confirmó la inexistencia de la </w:t>
      </w:r>
      <w:r>
        <w:rPr>
          <w:rFonts w:ascii="Palatino Linotype" w:hAnsi="Palatino Linotype" w:cs="Arial"/>
        </w:rPr>
        <w:t>misma</w:t>
      </w:r>
      <w:r w:rsidRPr="008E441A">
        <w:rPr>
          <w:rFonts w:ascii="Palatino Linotype" w:hAnsi="Palatino Linotype" w:cs="Arial"/>
        </w:rPr>
        <w:t xml:space="preserve"> y</w:t>
      </w:r>
      <w:r>
        <w:rPr>
          <w:rFonts w:ascii="Palatino Linotype" w:hAnsi="Palatino Linotype" w:cs="Arial"/>
        </w:rPr>
        <w:t xml:space="preserve"> el </w:t>
      </w:r>
      <w:r w:rsidRPr="008E441A">
        <w:rPr>
          <w:rFonts w:ascii="Palatino Linotype" w:hAnsi="Palatino Linotype" w:cs="Arial"/>
        </w:rPr>
        <w:t>recurso de revisión fue resuelto conforme al plazo señalado en el numeral 181 de la Ley de Transparencia y Acceso a la Información Pública del Estado de México y Municipios; por lo que</w:t>
      </w:r>
      <w:r>
        <w:rPr>
          <w:rFonts w:ascii="Palatino Linotype" w:hAnsi="Palatino Linotype" w:cs="Arial"/>
        </w:rPr>
        <w:t>,</w:t>
      </w:r>
      <w:r w:rsidRPr="008E441A">
        <w:rPr>
          <w:rFonts w:ascii="Palatino Linotype" w:hAnsi="Palatino Linotype" w:cs="Arial"/>
        </w:rPr>
        <w:t xml:space="preserve"> no puede considerarse </w:t>
      </w:r>
      <w:r>
        <w:rPr>
          <w:rFonts w:ascii="Palatino Linotype" w:hAnsi="Palatino Linotype" w:cs="Arial"/>
        </w:rPr>
        <w:t>como negativa de la información;</w:t>
      </w:r>
      <w:r w:rsidRPr="008E441A">
        <w:rPr>
          <w:rFonts w:ascii="Palatino Linotype" w:hAnsi="Palatino Linotype" w:cs="Arial"/>
        </w:rPr>
        <w:t xml:space="preserve"> </w:t>
      </w:r>
      <w:r>
        <w:rPr>
          <w:rFonts w:ascii="Palatino Linotype" w:hAnsi="Palatino Linotype" w:cs="Arial"/>
        </w:rPr>
        <w:t>por ende, no se actualiza</w:t>
      </w:r>
      <w:r w:rsidRPr="008E441A">
        <w:rPr>
          <w:rFonts w:ascii="Palatino Linotype" w:hAnsi="Palatino Linotype" w:cs="Arial"/>
        </w:rPr>
        <w:t xml:space="preserve"> </w:t>
      </w:r>
      <w:r>
        <w:rPr>
          <w:rFonts w:ascii="Palatino Linotype" w:hAnsi="Palatino Linotype" w:cs="Arial"/>
        </w:rPr>
        <w:t>alguno</w:t>
      </w:r>
      <w:r w:rsidRPr="008E441A">
        <w:rPr>
          <w:rFonts w:ascii="Palatino Linotype" w:hAnsi="Palatino Linotype" w:cs="Arial"/>
        </w:rPr>
        <w:t xml:space="preserve"> de los supuestos legales anteriormente citados.</w:t>
      </w:r>
    </w:p>
    <w:p w:rsidR="002613D3" w:rsidRPr="00E4648F" w:rsidRDefault="002613D3" w:rsidP="002613D3">
      <w:pPr>
        <w:pStyle w:val="Textoindependiente"/>
        <w:spacing w:before="100" w:beforeAutospacing="1" w:after="100" w:afterAutospacing="1"/>
        <w:jc w:val="both"/>
        <w:rPr>
          <w:rFonts w:ascii="Palatino Linotype" w:hAnsi="Palatino Linotype"/>
          <w:lang w:val="es-MX"/>
        </w:rPr>
      </w:pPr>
      <w:r w:rsidRPr="00E4648F">
        <w:rPr>
          <w:rFonts w:ascii="Palatino Linotype" w:hAnsi="Palatino Linotype"/>
          <w:lang w:val="es-MX"/>
        </w:rPr>
        <w:t>En ese sentido, es menester remitirse al artículo 19 de la Ley de la materia que a la letra dice:</w:t>
      </w:r>
    </w:p>
    <w:p w:rsidR="002613D3" w:rsidRPr="002613D3" w:rsidRDefault="002613D3" w:rsidP="002613D3">
      <w:pPr>
        <w:pStyle w:val="Textoindependienteprimerasangra2"/>
        <w:ind w:left="851" w:right="902" w:firstLine="0"/>
        <w:jc w:val="both"/>
        <w:rPr>
          <w:rFonts w:ascii="Palatino Linotype" w:hAnsi="Palatino Linotype"/>
          <w:b/>
          <w:i/>
          <w:sz w:val="22"/>
          <w:lang w:val="es-MX"/>
        </w:rPr>
      </w:pPr>
      <w:r w:rsidRPr="000B0023">
        <w:rPr>
          <w:rFonts w:ascii="Palatino Linotype" w:hAnsi="Palatino Linotype"/>
          <w:i/>
          <w:sz w:val="22"/>
          <w:lang w:val="es-MX"/>
        </w:rPr>
        <w:t>“</w:t>
      </w:r>
      <w:r w:rsidRPr="00F465CC">
        <w:rPr>
          <w:rFonts w:ascii="Palatino Linotype" w:hAnsi="Palatino Linotype"/>
          <w:b/>
          <w:i/>
          <w:sz w:val="22"/>
          <w:lang w:val="es-MX"/>
        </w:rPr>
        <w:t>Artículo 19.</w:t>
      </w:r>
      <w:r w:rsidRPr="00F465CC">
        <w:rPr>
          <w:rFonts w:ascii="Palatino Linotype" w:hAnsi="Palatino Linotype"/>
          <w:i/>
          <w:sz w:val="22"/>
          <w:lang w:val="es-MX"/>
        </w:rPr>
        <w:t xml:space="preserve"> Se presume que </w:t>
      </w:r>
      <w:r w:rsidRPr="002613D3">
        <w:rPr>
          <w:rFonts w:ascii="Palatino Linotype" w:hAnsi="Palatino Linotype"/>
          <w:b/>
          <w:i/>
          <w:sz w:val="22"/>
          <w:lang w:val="es-MX"/>
        </w:rPr>
        <w:t>la información debe existir si se refiere a las facultades, competencias y funciones que los ordenamientos jurídicos aplicables otorgan a los sujetos obligados.</w:t>
      </w:r>
    </w:p>
    <w:p w:rsidR="002613D3" w:rsidRPr="00F465CC" w:rsidRDefault="002613D3" w:rsidP="002613D3">
      <w:pPr>
        <w:pStyle w:val="Textoindependienteprimerasangra2"/>
        <w:ind w:left="851" w:right="902" w:firstLine="0"/>
        <w:jc w:val="both"/>
        <w:rPr>
          <w:rFonts w:ascii="Palatino Linotype" w:hAnsi="Palatino Linotype"/>
          <w:i/>
          <w:sz w:val="22"/>
          <w:lang w:val="es-MX"/>
        </w:rPr>
      </w:pPr>
      <w:r w:rsidRPr="00F465CC">
        <w:rPr>
          <w:rFonts w:ascii="Palatino Linotype" w:hAnsi="Palatino Linotype"/>
          <w:i/>
          <w:sz w:val="22"/>
          <w:lang w:val="es-MX"/>
        </w:rPr>
        <w:t>En los casos en que ciertas facultades, competencias o funciones no se hayan ejercido, se debe motivar la respuesta en función de las causas que motiven tal circunstancia.</w:t>
      </w:r>
    </w:p>
    <w:p w:rsidR="002613D3" w:rsidRDefault="002613D3" w:rsidP="002613D3">
      <w:pPr>
        <w:pStyle w:val="Textoindependienteprimerasangra2"/>
        <w:ind w:left="851" w:right="902" w:firstLine="0"/>
        <w:jc w:val="both"/>
        <w:rPr>
          <w:rFonts w:ascii="Palatino Linotype" w:hAnsi="Palatino Linotype"/>
          <w:i/>
          <w:sz w:val="22"/>
          <w:lang w:val="es-MX"/>
        </w:rPr>
      </w:pPr>
      <w:r w:rsidRPr="00F465CC">
        <w:rPr>
          <w:rFonts w:ascii="Palatino Linotype" w:hAnsi="Palatino Linotype"/>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i/>
          <w:sz w:val="22"/>
          <w:lang w:val="es-MX"/>
        </w:rPr>
        <w:t xml:space="preserve">” </w:t>
      </w:r>
    </w:p>
    <w:p w:rsidR="002613D3" w:rsidRPr="008C77DB" w:rsidRDefault="002613D3" w:rsidP="002613D3">
      <w:pPr>
        <w:pStyle w:val="Textoindependiente"/>
        <w:spacing w:before="100" w:beforeAutospacing="1" w:after="100" w:afterAutospacing="1" w:line="360" w:lineRule="auto"/>
        <w:jc w:val="both"/>
        <w:rPr>
          <w:rFonts w:ascii="Palatino Linotype" w:hAnsi="Palatino Linotype" w:cs="Arial"/>
        </w:rPr>
      </w:pPr>
      <w:r w:rsidRPr="00FB47D9">
        <w:rPr>
          <w:rFonts w:ascii="Palatino Linotype" w:hAnsi="Palatino Linotype"/>
          <w:lang w:val="es-MX"/>
        </w:rPr>
        <w:t>De lo anterior</w:t>
      </w:r>
      <w:r w:rsidRPr="00E4648F">
        <w:rPr>
          <w:rFonts w:ascii="Palatino Linotype" w:hAnsi="Palatino Linotype"/>
          <w:lang w:val="es-MX"/>
        </w:rPr>
        <w:t xml:space="preserve">, el citado artículo señala que se presume que la información existe en razón de las funciones del </w:t>
      </w:r>
      <w:r w:rsidRPr="00E4648F">
        <w:rPr>
          <w:rFonts w:ascii="Palatino Linotype" w:hAnsi="Palatino Linotype"/>
          <w:b/>
          <w:lang w:val="es-MX"/>
        </w:rPr>
        <w:t>SUJETO OBLIGADO</w:t>
      </w:r>
      <w:r w:rsidRPr="00E4648F">
        <w:rPr>
          <w:rFonts w:ascii="Palatino Linotype" w:hAnsi="Palatino Linotype"/>
          <w:lang w:val="es-MX"/>
        </w:rPr>
        <w:t xml:space="preserve">; </w:t>
      </w:r>
      <w:r>
        <w:rPr>
          <w:rFonts w:ascii="Palatino Linotype" w:hAnsi="Palatino Linotype"/>
          <w:lang w:val="es-MX"/>
        </w:rPr>
        <w:t xml:space="preserve">por lo que, </w:t>
      </w:r>
      <w:r>
        <w:rPr>
          <w:rFonts w:ascii="Palatino Linotype" w:hAnsi="Palatino Linotype" w:cs="Arial"/>
        </w:rPr>
        <w:t xml:space="preserve">para el caso de que no se localice la información, </w:t>
      </w:r>
      <w:r>
        <w:rPr>
          <w:rFonts w:ascii="Palatino Linotype" w:hAnsi="Palatino Linotype"/>
        </w:rPr>
        <w:t>constituye</w:t>
      </w:r>
      <w:r w:rsidRPr="000B2903">
        <w:rPr>
          <w:rFonts w:ascii="Palatino Linotype" w:hAnsi="Palatino Linotype"/>
        </w:rPr>
        <w:t xml:space="preserve"> un hecho negativo</w:t>
      </w:r>
      <w:r>
        <w:rPr>
          <w:rFonts w:ascii="Palatino Linotype" w:hAnsi="Palatino Linotype"/>
        </w:rPr>
        <w:t>, por lo que</w:t>
      </w:r>
      <w:r w:rsidRPr="000B2903">
        <w:rPr>
          <w:rFonts w:ascii="Palatino Linotype" w:hAnsi="Palatino Linotype" w:cs="Arial"/>
        </w:rPr>
        <w:t xml:space="preserve"> es obvio que éste no puede fácticamente obrar en los archivos del </w:t>
      </w:r>
      <w:r w:rsidRPr="008C77DB">
        <w:rPr>
          <w:rFonts w:ascii="Palatino Linotype" w:hAnsi="Palatino Linotype" w:cs="Arial"/>
          <w:b/>
        </w:rPr>
        <w:t>SUJETO OBLIGADO</w:t>
      </w:r>
      <w:r w:rsidRPr="000B2903">
        <w:rPr>
          <w:rFonts w:ascii="Palatino Linotype" w:hAnsi="Palatino Linotype" w:cs="Arial"/>
        </w:rPr>
        <w:t>, ya que no puede probarse por ser lógica y materialmente imposible.</w:t>
      </w:r>
    </w:p>
    <w:p w:rsidR="002613D3" w:rsidRDefault="002613D3" w:rsidP="002613D3">
      <w:pPr>
        <w:spacing w:before="100" w:beforeAutospacing="1" w:after="100" w:afterAutospacing="1" w:line="360" w:lineRule="auto"/>
        <w:jc w:val="both"/>
        <w:rPr>
          <w:rFonts w:ascii="Palatino Linotype" w:hAnsi="Palatino Linotype" w:cs="Arial"/>
        </w:rPr>
      </w:pPr>
      <w:r>
        <w:rPr>
          <w:rFonts w:ascii="Palatino Linotype" w:hAnsi="Palatino Linotype" w:cs="Arial"/>
        </w:rPr>
        <w:t>Es así que</w:t>
      </w:r>
      <w:r w:rsidRPr="000B2903">
        <w:rPr>
          <w:rFonts w:ascii="Palatino Linotype" w:hAnsi="Palatino Linotype" w:cs="Arial"/>
        </w:rPr>
        <w:t>, no se trata de un caso por el cual la negación del hecho implique la afirmación del mismo, simplemente se está ante una notoria y evidente inexistencia fáctica de la información solicitada.</w:t>
      </w:r>
    </w:p>
    <w:p w:rsidR="002613D3" w:rsidRDefault="002613D3" w:rsidP="002613D3">
      <w:pPr>
        <w:autoSpaceDE w:val="0"/>
        <w:autoSpaceDN w:val="0"/>
        <w:adjustRightInd w:val="0"/>
        <w:spacing w:before="100" w:beforeAutospacing="1" w:after="100" w:afterAutospacing="1" w:line="360" w:lineRule="auto"/>
        <w:ind w:right="18"/>
        <w:jc w:val="both"/>
        <w:rPr>
          <w:rFonts w:ascii="Palatino Linotype" w:hAnsi="Palatino Linotype"/>
        </w:rPr>
      </w:pPr>
      <w:r>
        <w:rPr>
          <w:rFonts w:ascii="Palatino Linotype" w:hAnsi="Palatino Linotype"/>
        </w:rPr>
        <w:lastRenderedPageBreak/>
        <w:t>Así,</w:t>
      </w:r>
      <w:r w:rsidRPr="000B2903">
        <w:rPr>
          <w:rFonts w:ascii="Palatino Linotype" w:hAnsi="Palatino Linotype"/>
        </w:rPr>
        <w:t xml:space="preserve"> de conformidad con </w:t>
      </w:r>
      <w:r>
        <w:rPr>
          <w:rFonts w:ascii="Palatino Linotype" w:hAnsi="Palatino Linotype"/>
        </w:rPr>
        <w:t>lo establecido en el artículo 4</w:t>
      </w:r>
      <w:r w:rsidRPr="000B2903">
        <w:rPr>
          <w:rFonts w:ascii="Palatino Linotype" w:hAnsi="Palatino Linotype"/>
        </w:rPr>
        <w:t xml:space="preserve"> de la Ley de Transparencia y Acceso a la Información Pública del Estado de México y Municipios</w:t>
      </w:r>
      <w:r>
        <w:rPr>
          <w:rFonts w:ascii="Palatino Linotype" w:hAnsi="Palatino Linotype"/>
        </w:rPr>
        <w:t>,</w:t>
      </w:r>
      <w:r w:rsidRPr="000B2903">
        <w:rPr>
          <w:rFonts w:ascii="Palatino Linotype" w:hAnsi="Palatino Linotype"/>
        </w:rPr>
        <w:t xml:space="preserve"> </w:t>
      </w:r>
      <w:r w:rsidRPr="008C77DB">
        <w:rPr>
          <w:rFonts w:ascii="Palatino Linotype" w:hAnsi="Palatino Linotype"/>
          <w:b/>
        </w:rPr>
        <w:t>EL SUJETO OBLIGADO</w:t>
      </w:r>
      <w:r w:rsidRPr="000B2903">
        <w:rPr>
          <w:rFonts w:ascii="Palatino Linotype" w:hAnsi="Palatino Linotype"/>
        </w:rPr>
        <w:t xml:space="preserve"> sólo propo</w:t>
      </w:r>
      <w:r>
        <w:rPr>
          <w:rFonts w:ascii="Palatino Linotype" w:hAnsi="Palatino Linotype"/>
        </w:rPr>
        <w:t>rcionará la información que obre</w:t>
      </w:r>
      <w:r w:rsidRPr="000B2903">
        <w:rPr>
          <w:rFonts w:ascii="Palatino Linotype" w:hAnsi="Palatino Linotype"/>
        </w:rPr>
        <w:t xml:space="preserve"> en</w:t>
      </w:r>
      <w:r>
        <w:rPr>
          <w:rFonts w:ascii="Palatino Linotype" w:hAnsi="Palatino Linotype"/>
        </w:rPr>
        <w:t xml:space="preserve"> sus archivos, lo que en</w:t>
      </w:r>
      <w:r w:rsidRPr="000B2903">
        <w:rPr>
          <w:rFonts w:ascii="Palatino Linotype" w:hAnsi="Palatino Linotype"/>
          <w:i/>
        </w:rPr>
        <w:t xml:space="preserve"> </w:t>
      </w:r>
      <w:r w:rsidRPr="00FE2A2C">
        <w:rPr>
          <w:rFonts w:ascii="Palatino Linotype" w:hAnsi="Palatino Linotype"/>
        </w:rPr>
        <w:t>sentido contrario</w:t>
      </w:r>
      <w:r>
        <w:rPr>
          <w:rFonts w:ascii="Palatino Linotype" w:hAnsi="Palatino Linotype"/>
          <w:i/>
        </w:rPr>
        <w:t xml:space="preserve"> </w:t>
      </w:r>
      <w:r w:rsidRPr="000B2903">
        <w:rPr>
          <w:rFonts w:ascii="Palatino Linotype" w:hAnsi="Palatino Linotype"/>
        </w:rPr>
        <w:t xml:space="preserve">significa que no se está obligado a proporcionar lo que no obre en </w:t>
      </w:r>
      <w:r>
        <w:rPr>
          <w:rFonts w:ascii="Palatino Linotype" w:hAnsi="Palatino Linotype"/>
        </w:rPr>
        <w:t>los mismos.</w:t>
      </w:r>
    </w:p>
    <w:p w:rsidR="002613D3" w:rsidRDefault="002613D3" w:rsidP="002613D3">
      <w:pPr>
        <w:spacing w:before="100" w:beforeAutospacing="1" w:after="100" w:afterAutospacing="1" w:line="360" w:lineRule="auto"/>
        <w:jc w:val="both"/>
        <w:rPr>
          <w:rFonts w:ascii="Palatino Linotype" w:hAnsi="Palatino Linotype"/>
        </w:rPr>
      </w:pPr>
      <w:r>
        <w:rPr>
          <w:rFonts w:ascii="Palatino Linotype" w:hAnsi="Palatino Linotype"/>
        </w:rPr>
        <w:t>Para mayor claridad de lo aducido, se establece que encontrándonos ante un hecho negativo, destacando entonces que</w:t>
      </w:r>
      <w:r w:rsidRPr="003169F5">
        <w:rPr>
          <w:rFonts w:ascii="Palatino Linotype" w:hAnsi="Palatino Linotype"/>
        </w:rPr>
        <w:t xml:space="preserve"> el Pleno de este Orga</w:t>
      </w:r>
      <w:r>
        <w:rPr>
          <w:rFonts w:ascii="Palatino Linotype" w:hAnsi="Palatino Linotype"/>
        </w:rPr>
        <w:t>nismo Garante, ha sostenido que ante</w:t>
      </w:r>
      <w:r w:rsidRPr="003169F5">
        <w:rPr>
          <w:rFonts w:ascii="Palatino Linotype" w:hAnsi="Palatino Linotype"/>
        </w:rPr>
        <w:t xml:space="preserve"> presencia de un hecho negativo, resultaría innecesaria una declaratoria de inexistencia en términos de </w:t>
      </w:r>
      <w:r>
        <w:rPr>
          <w:rFonts w:ascii="Palatino Linotype" w:hAnsi="Palatino Linotype"/>
        </w:rPr>
        <w:t xml:space="preserve">los artículos </w:t>
      </w:r>
      <w:r w:rsidRPr="00744D22">
        <w:rPr>
          <w:rFonts w:ascii="Palatino Linotype" w:hAnsi="Palatino Linotype"/>
        </w:rPr>
        <w:t>19, 169 y 170 de la Ley de Transparencia y Acceso a la Información Pública del Estado de México y Municipios</w:t>
      </w:r>
      <w:r w:rsidRPr="003169F5">
        <w:rPr>
          <w:rFonts w:ascii="Palatino Linotype" w:hAnsi="Palatino Linotype"/>
        </w:rPr>
        <w:t xml:space="preserve">, </w:t>
      </w:r>
      <w:r>
        <w:rPr>
          <w:rFonts w:ascii="Palatino Linotype" w:hAnsi="Palatino Linotype"/>
        </w:rPr>
        <w:t>resultando</w:t>
      </w:r>
      <w:r w:rsidRPr="003169F5">
        <w:rPr>
          <w:rFonts w:ascii="Palatino Linotype" w:hAnsi="Palatino Linotype"/>
        </w:rPr>
        <w:t xml:space="preserve"> aplicab</w:t>
      </w:r>
      <w:r>
        <w:rPr>
          <w:rFonts w:ascii="Palatino Linotype" w:hAnsi="Palatino Linotype"/>
        </w:rPr>
        <w:t>le la siguiente</w:t>
      </w:r>
      <w:r w:rsidRPr="003169F5">
        <w:rPr>
          <w:rFonts w:ascii="Palatino Linotype" w:hAnsi="Palatino Linotype"/>
        </w:rPr>
        <w:t xml:space="preserve"> tesis:</w:t>
      </w:r>
    </w:p>
    <w:p w:rsidR="002613D3" w:rsidRPr="003169F5" w:rsidRDefault="002613D3" w:rsidP="002613D3">
      <w:pPr>
        <w:ind w:left="851" w:right="902"/>
        <w:jc w:val="both"/>
        <w:rPr>
          <w:rFonts w:ascii="Palatino Linotype" w:hAnsi="Palatino Linotype"/>
          <w:b/>
          <w:i/>
          <w:sz w:val="22"/>
        </w:rPr>
      </w:pPr>
      <w:r w:rsidRPr="00661884">
        <w:rPr>
          <w:rFonts w:ascii="Palatino Linotype" w:hAnsi="Palatino Linotype"/>
          <w:i/>
          <w:sz w:val="22"/>
        </w:rPr>
        <w:t>“</w:t>
      </w:r>
      <w:r w:rsidRPr="003169F5">
        <w:rPr>
          <w:rFonts w:ascii="Palatino Linotype" w:hAnsi="Palatino Linotype"/>
          <w:b/>
          <w:i/>
          <w:sz w:val="22"/>
        </w:rPr>
        <w:t xml:space="preserve">HECHOS NEGATIVOS, NO SON SUSCEPTIBLES DE DEMOSTRACION. </w:t>
      </w:r>
    </w:p>
    <w:p w:rsidR="002613D3" w:rsidRDefault="002613D3" w:rsidP="002613D3">
      <w:pPr>
        <w:ind w:left="851" w:right="902"/>
        <w:jc w:val="both"/>
        <w:rPr>
          <w:rFonts w:ascii="Palatino Linotype" w:hAnsi="Palatino Linotype"/>
          <w:i/>
          <w:sz w:val="22"/>
        </w:rPr>
      </w:pPr>
      <w:r w:rsidRPr="003169F5">
        <w:rPr>
          <w:rFonts w:ascii="Palatino Linotype" w:hAnsi="Palatino Linotype"/>
          <w:i/>
          <w:sz w:val="22"/>
        </w:rPr>
        <w:t xml:space="preserve">Tratándose de un hecho negativo, el Juez no tiene </w:t>
      </w:r>
      <w:proofErr w:type="spellStart"/>
      <w:r w:rsidRPr="003169F5">
        <w:rPr>
          <w:rFonts w:ascii="Palatino Linotype" w:hAnsi="Palatino Linotype"/>
          <w:i/>
          <w:sz w:val="22"/>
        </w:rPr>
        <w:t>por que</w:t>
      </w:r>
      <w:proofErr w:type="spellEnd"/>
      <w:r w:rsidRPr="003169F5">
        <w:rPr>
          <w:rFonts w:ascii="Palatino Linotype" w:hAnsi="Palatino Linotype"/>
          <w:i/>
          <w:sz w:val="22"/>
        </w:rPr>
        <w:t xml:space="preserve"> invocar prueba alguna de la que se desprenda, ya que es bien sabido que esta clase de hechos no son susceptibles de demostración.</w:t>
      </w:r>
    </w:p>
    <w:p w:rsidR="002613D3" w:rsidRPr="003169F5" w:rsidRDefault="002613D3" w:rsidP="002613D3">
      <w:pPr>
        <w:ind w:left="851" w:right="902"/>
        <w:jc w:val="both"/>
        <w:rPr>
          <w:rFonts w:ascii="Palatino Linotype" w:hAnsi="Palatino Linotype"/>
          <w:i/>
          <w:sz w:val="22"/>
        </w:rPr>
      </w:pPr>
    </w:p>
    <w:p w:rsidR="002613D3" w:rsidRPr="003169F5" w:rsidRDefault="002613D3" w:rsidP="002613D3">
      <w:pPr>
        <w:ind w:left="851" w:right="902"/>
        <w:jc w:val="both"/>
        <w:rPr>
          <w:rFonts w:ascii="Palatino Linotype" w:hAnsi="Palatino Linotype" w:cs="Arial"/>
          <w:bCs/>
          <w:i/>
          <w:sz w:val="22"/>
        </w:rPr>
      </w:pPr>
      <w:r w:rsidRPr="003169F5">
        <w:rPr>
          <w:rFonts w:ascii="Palatino Linotype" w:hAnsi="Palatino Linotype"/>
          <w:i/>
          <w:sz w:val="22"/>
        </w:rPr>
        <w:t>Amparo en revisión 2022/61. José García Florín (Menor). 9 de octubre de 1961. Cinco votos. Ponente: José Rivera Pérez Campos.”</w:t>
      </w:r>
    </w:p>
    <w:p w:rsidR="00DD519D" w:rsidRPr="008E441A" w:rsidRDefault="00DD519D" w:rsidP="00DD519D">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sidR="002613D3">
        <w:rPr>
          <w:rFonts w:ascii="Palatino Linotype" w:hAnsi="Palatino Linotype" w:cs="Arial"/>
        </w:rPr>
        <w:t>Tercero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 xml:space="preserve">pues se insiste, que de las constancias del expediente no se advierten actos </w:t>
      </w:r>
      <w:r w:rsidR="00244994">
        <w:rPr>
          <w:rFonts w:ascii="Palatino Linotype" w:hAnsi="Palatino Linotype" w:cs="Arial"/>
        </w:rPr>
        <w:t xml:space="preserve">para su procedencia </w:t>
      </w:r>
      <w:r w:rsidRPr="008E441A">
        <w:rPr>
          <w:rFonts w:ascii="Palatino Linotype" w:hAnsi="Palatino Linotype" w:cs="Arial"/>
        </w:rPr>
        <w:t xml:space="preserve">que encuadren en los supuestos legales señalados en los numerales 159 y 160 de la Ley General de Transparencia y Acceso a la Información </w:t>
      </w:r>
      <w:r w:rsidRPr="008E441A">
        <w:rPr>
          <w:rFonts w:ascii="Palatino Linotype" w:hAnsi="Palatino Linotype" w:cs="Arial"/>
        </w:rPr>
        <w:lastRenderedPageBreak/>
        <w:t>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 xml:space="preserve">no declaró la </w:t>
      </w:r>
      <w:r w:rsidR="002613D3">
        <w:rPr>
          <w:rFonts w:ascii="Palatino Linotype" w:hAnsi="Palatino Linotype" w:cs="Arial"/>
        </w:rPr>
        <w:t>inexistencia</w:t>
      </w:r>
      <w:r w:rsidR="00244994">
        <w:rPr>
          <w:rFonts w:ascii="Palatino Linotype" w:hAnsi="Palatino Linotype" w:cs="Arial"/>
        </w:rPr>
        <w:t xml:space="preserve"> de la información sino se refirió a un hecho negativo, mismo que no es susceptible de demostración.  </w:t>
      </w:r>
    </w:p>
    <w:p w:rsidR="00DF015D" w:rsidRPr="00683A81" w:rsidRDefault="00DF015D" w:rsidP="00A85A7B">
      <w:pPr>
        <w:widowControl w:val="0"/>
        <w:autoSpaceDE w:val="0"/>
        <w:autoSpaceDN w:val="0"/>
        <w:adjustRightInd w:val="0"/>
        <w:spacing w:before="100" w:beforeAutospacing="1" w:after="100" w:afterAutospacing="1" w:line="360" w:lineRule="auto"/>
        <w:jc w:val="both"/>
        <w:rPr>
          <w:rFonts w:ascii="Palatino Linotype" w:hAnsi="Palatino Linotype" w:cs="Arial"/>
        </w:rPr>
      </w:pP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683A81">
        <w:trPr>
          <w:trHeight w:val="1860"/>
        </w:trPr>
        <w:tc>
          <w:tcPr>
            <w:tcW w:w="2681" w:type="dxa"/>
          </w:tcPr>
          <w:p w:rsidR="00DF015D" w:rsidRDefault="00DF015D" w:rsidP="0087455A">
            <w:pPr>
              <w:jc w:val="center"/>
              <w:rPr>
                <w:rFonts w:ascii="Palatino Linotype" w:hAnsi="Palatino Linotype" w:cs="Arial"/>
                <w:b/>
              </w:rPr>
            </w:pPr>
          </w:p>
          <w:p w:rsidR="00DF015D" w:rsidRDefault="00DF015D" w:rsidP="0087455A">
            <w:pPr>
              <w:jc w:val="center"/>
              <w:rPr>
                <w:rFonts w:ascii="Palatino Linotype" w:hAnsi="Palatino Linotype" w:cs="Arial"/>
                <w:b/>
              </w:rPr>
            </w:pPr>
          </w:p>
          <w:p w:rsidR="00DF015D" w:rsidRDefault="00DF015D" w:rsidP="0087455A">
            <w:pPr>
              <w:jc w:val="center"/>
              <w:rPr>
                <w:rFonts w:ascii="Palatino Linotype" w:hAnsi="Palatino Linotype" w:cs="Arial"/>
                <w:b/>
              </w:rPr>
            </w:pPr>
          </w:p>
          <w:p w:rsidR="002613D3" w:rsidRDefault="002613D3" w:rsidP="0087455A">
            <w:pPr>
              <w:jc w:val="center"/>
              <w:rPr>
                <w:rFonts w:ascii="Palatino Linotype" w:hAnsi="Palatino Linotype" w:cs="Arial"/>
                <w:b/>
              </w:rPr>
            </w:pPr>
          </w:p>
          <w:p w:rsidR="002613D3" w:rsidRDefault="002613D3" w:rsidP="0087455A">
            <w:pPr>
              <w:jc w:val="center"/>
              <w:rPr>
                <w:rFonts w:ascii="Palatino Linotype" w:hAnsi="Palatino Linotype" w:cs="Arial"/>
                <w:b/>
              </w:rPr>
            </w:pPr>
          </w:p>
          <w:p w:rsidR="002613D3" w:rsidRDefault="002613D3" w:rsidP="0087455A">
            <w:pPr>
              <w:jc w:val="center"/>
              <w:rPr>
                <w:rFonts w:ascii="Palatino Linotype" w:hAnsi="Palatino Linotype" w:cs="Arial"/>
                <w:b/>
              </w:rPr>
            </w:pPr>
          </w:p>
          <w:p w:rsidR="002613D3" w:rsidRDefault="002613D3" w:rsidP="0087455A">
            <w:pPr>
              <w:jc w:val="center"/>
              <w:rPr>
                <w:rFonts w:ascii="Palatino Linotype" w:hAnsi="Palatino Linotype" w:cs="Arial"/>
                <w:b/>
              </w:rPr>
            </w:pPr>
          </w:p>
          <w:p w:rsidR="002613D3" w:rsidRDefault="002613D3" w:rsidP="0087455A">
            <w:pPr>
              <w:jc w:val="center"/>
              <w:rPr>
                <w:rFonts w:ascii="Palatino Linotype" w:hAnsi="Palatino Linotype" w:cs="Arial"/>
                <w:b/>
              </w:rPr>
            </w:pPr>
          </w:p>
          <w:p w:rsidR="002613D3" w:rsidRDefault="002613D3" w:rsidP="0087455A">
            <w:pPr>
              <w:jc w:val="center"/>
              <w:rPr>
                <w:rFonts w:ascii="Palatino Linotype" w:hAnsi="Palatino Linotype" w:cs="Arial"/>
                <w:b/>
              </w:rPr>
            </w:pPr>
          </w:p>
          <w:p w:rsidR="009E631B" w:rsidRDefault="009E631B" w:rsidP="0087455A">
            <w:pPr>
              <w:jc w:val="center"/>
              <w:rPr>
                <w:rFonts w:ascii="Palatino Linotype" w:hAnsi="Palatino Linotype" w:cs="Arial"/>
                <w:b/>
              </w:rPr>
            </w:pPr>
          </w:p>
          <w:p w:rsidR="009E631B" w:rsidRDefault="009E631B" w:rsidP="0087455A">
            <w:pPr>
              <w:jc w:val="center"/>
              <w:rPr>
                <w:rFonts w:ascii="Palatino Linotype" w:hAnsi="Palatino Linotype" w:cs="Arial"/>
                <w:b/>
              </w:rPr>
            </w:pPr>
          </w:p>
          <w:p w:rsidR="009E631B" w:rsidRDefault="009E631B" w:rsidP="0087455A">
            <w:pPr>
              <w:jc w:val="center"/>
              <w:rPr>
                <w:rFonts w:ascii="Palatino Linotype" w:hAnsi="Palatino Linotype" w:cs="Arial"/>
                <w:b/>
              </w:rPr>
            </w:pPr>
          </w:p>
          <w:p w:rsidR="009E631B" w:rsidRDefault="009E631B" w:rsidP="0087455A">
            <w:pPr>
              <w:jc w:val="center"/>
              <w:rPr>
                <w:rFonts w:ascii="Palatino Linotype" w:hAnsi="Palatino Linotype" w:cs="Arial"/>
                <w:b/>
              </w:rPr>
            </w:pPr>
          </w:p>
          <w:p w:rsidR="009E631B" w:rsidRDefault="009E631B" w:rsidP="0087455A">
            <w:pPr>
              <w:jc w:val="center"/>
              <w:rPr>
                <w:rFonts w:ascii="Palatino Linotype" w:hAnsi="Palatino Linotype" w:cs="Arial"/>
                <w:b/>
              </w:rPr>
            </w:pPr>
          </w:p>
          <w:p w:rsidR="00F7009C" w:rsidRPr="00683A81" w:rsidRDefault="00F7009C" w:rsidP="00AE0CD2">
            <w:pPr>
              <w:jc w:val="center"/>
              <w:rPr>
                <w:rFonts w:ascii="Palatino Linotype" w:hAnsi="Palatino Linotype" w:cs="Arial"/>
                <w:b/>
              </w:rPr>
            </w:pPr>
            <w:r w:rsidRPr="00683A81">
              <w:rPr>
                <w:rFonts w:ascii="Palatino Linotype" w:hAnsi="Palatino Linotype" w:cs="Arial"/>
                <w:b/>
              </w:rPr>
              <w:t>EVA ABAI</w:t>
            </w:r>
            <w:bookmarkStart w:id="0" w:name="_GoBack"/>
            <w:bookmarkEnd w:id="0"/>
            <w:r w:rsidRPr="00683A81">
              <w:rPr>
                <w:rFonts w:ascii="Palatino Linotype" w:hAnsi="Palatino Linotype" w:cs="Arial"/>
                <w:b/>
              </w:rPr>
              <w:t>D YAPUR</w:t>
            </w:r>
          </w:p>
          <w:p w:rsidR="00A85A7B" w:rsidRDefault="00F7009C" w:rsidP="009E631B">
            <w:pPr>
              <w:jc w:val="center"/>
              <w:rPr>
                <w:rFonts w:ascii="Palatino Linotype" w:hAnsi="Palatino Linotype" w:cs="Arial"/>
                <w:b/>
              </w:rPr>
            </w:pPr>
            <w:r w:rsidRPr="00683A81">
              <w:rPr>
                <w:rFonts w:ascii="Palatino Linotype" w:hAnsi="Palatino Linotype" w:cs="Arial"/>
                <w:b/>
              </w:rPr>
              <w:t>COMISIONADA</w:t>
            </w:r>
          </w:p>
          <w:p w:rsidR="00015A32" w:rsidRPr="00683A81" w:rsidRDefault="00015A32" w:rsidP="009E631B">
            <w:pPr>
              <w:jc w:val="center"/>
              <w:rPr>
                <w:rFonts w:ascii="Palatino Linotype" w:hAnsi="Palatino Linotype" w:cs="Arial"/>
                <w:b/>
              </w:rPr>
            </w:pPr>
            <w:r>
              <w:rPr>
                <w:rFonts w:ascii="Palatino Linotype" w:hAnsi="Palatino Linotype"/>
                <w:b/>
              </w:rPr>
              <w:t>(RÚBRICA)</w:t>
            </w:r>
          </w:p>
        </w:tc>
      </w:tr>
    </w:tbl>
    <w:p w:rsidR="00F7009C" w:rsidRDefault="00F7009C" w:rsidP="00A85A7B">
      <w:pPr>
        <w:spacing w:before="100" w:beforeAutospacing="1" w:after="100" w:afterAutospacing="1" w:line="360" w:lineRule="auto"/>
        <w:jc w:val="both"/>
        <w:rPr>
          <w:rFonts w:ascii="Palatino Linotype" w:eastAsia="Calibri" w:hAnsi="Palatino Linotype" w:cs="Arial"/>
          <w:color w:val="000000" w:themeColor="text1"/>
        </w:rPr>
      </w:pPr>
    </w:p>
    <w:p w:rsidR="00F7009C" w:rsidRPr="00683A81" w:rsidRDefault="00F7009C" w:rsidP="00A85A7B">
      <w:pPr>
        <w:spacing w:before="100" w:beforeAutospacing="1" w:after="100" w:afterAutospacing="1" w:line="360" w:lineRule="auto"/>
        <w:jc w:val="both"/>
        <w:rPr>
          <w:rFonts w:ascii="Palatino Linotype" w:eastAsia="Calibri" w:hAnsi="Palatino Linotype" w:cs="Arial"/>
          <w:color w:val="000000" w:themeColor="text1"/>
        </w:rPr>
      </w:pPr>
    </w:p>
    <w:p w:rsidR="00DF015D" w:rsidRDefault="00DF015D" w:rsidP="0087455A">
      <w:pPr>
        <w:jc w:val="both"/>
        <w:rPr>
          <w:rFonts w:ascii="Palatino Linotype" w:eastAsia="Calibri" w:hAnsi="Palatino Linotype" w:cs="Arial"/>
          <w:color w:val="000000" w:themeColor="text1"/>
          <w:sz w:val="20"/>
        </w:rPr>
      </w:pPr>
    </w:p>
    <w:p w:rsidR="00DF015D" w:rsidRDefault="00DF015D"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2613D3" w:rsidRDefault="002613D3" w:rsidP="0087455A">
      <w:pPr>
        <w:jc w:val="both"/>
        <w:rPr>
          <w:rFonts w:ascii="Palatino Linotype" w:eastAsia="Calibri" w:hAnsi="Palatino Linotype" w:cs="Arial"/>
          <w:color w:val="000000" w:themeColor="text1"/>
          <w:sz w:val="20"/>
        </w:rPr>
      </w:pPr>
    </w:p>
    <w:p w:rsidR="009E631B" w:rsidRDefault="009E631B" w:rsidP="0087455A">
      <w:pPr>
        <w:jc w:val="both"/>
        <w:rPr>
          <w:rFonts w:ascii="Palatino Linotype" w:eastAsia="Calibri" w:hAnsi="Palatino Linotype" w:cs="Arial"/>
          <w:color w:val="000000" w:themeColor="text1"/>
          <w:sz w:val="20"/>
        </w:rPr>
      </w:pPr>
    </w:p>
    <w:p w:rsidR="009E631B" w:rsidRDefault="009E631B" w:rsidP="0087455A">
      <w:pPr>
        <w:jc w:val="both"/>
        <w:rPr>
          <w:rFonts w:ascii="Palatino Linotype" w:eastAsia="Calibri" w:hAnsi="Palatino Linotype" w:cs="Arial"/>
          <w:color w:val="000000" w:themeColor="text1"/>
          <w:sz w:val="20"/>
        </w:rPr>
      </w:pPr>
    </w:p>
    <w:p w:rsidR="009E631B" w:rsidRDefault="009E631B" w:rsidP="0087455A">
      <w:pPr>
        <w:jc w:val="both"/>
        <w:rPr>
          <w:rFonts w:ascii="Palatino Linotype" w:eastAsia="Calibri" w:hAnsi="Palatino Linotype" w:cs="Arial"/>
          <w:color w:val="000000" w:themeColor="text1"/>
          <w:sz w:val="20"/>
        </w:rPr>
      </w:pPr>
    </w:p>
    <w:p w:rsidR="009E631B" w:rsidRDefault="009E631B" w:rsidP="0087455A">
      <w:pPr>
        <w:jc w:val="both"/>
        <w:rPr>
          <w:rFonts w:ascii="Palatino Linotype" w:eastAsia="Calibri" w:hAnsi="Palatino Linotype" w:cs="Arial"/>
          <w:color w:val="000000" w:themeColor="text1"/>
          <w:sz w:val="20"/>
        </w:rPr>
      </w:pPr>
    </w:p>
    <w:p w:rsidR="009E631B" w:rsidRDefault="009E631B" w:rsidP="0087455A">
      <w:pPr>
        <w:jc w:val="both"/>
        <w:rPr>
          <w:rFonts w:ascii="Palatino Linotype" w:eastAsia="Calibri" w:hAnsi="Palatino Linotype" w:cs="Arial"/>
          <w:color w:val="000000" w:themeColor="text1"/>
          <w:sz w:val="20"/>
        </w:rPr>
      </w:pPr>
    </w:p>
    <w:p w:rsidR="00F7009C" w:rsidRPr="009E631B" w:rsidRDefault="00F7009C" w:rsidP="00AE0CD2">
      <w:pPr>
        <w:jc w:val="both"/>
        <w:rPr>
          <w:rFonts w:ascii="Palatino Linotype" w:eastAsia="Calibri" w:hAnsi="Palatino Linotype" w:cs="Arial"/>
          <w:color w:val="000000" w:themeColor="text1"/>
          <w:sz w:val="20"/>
        </w:rPr>
      </w:pPr>
      <w:r w:rsidRPr="009E631B">
        <w:rPr>
          <w:rFonts w:ascii="Palatino Linotype" w:eastAsia="Calibri" w:hAnsi="Palatino Linotype" w:cs="Arial"/>
          <w:color w:val="000000" w:themeColor="text1"/>
          <w:sz w:val="20"/>
        </w:rPr>
        <w:t xml:space="preserve">Esta hoja corresponde al voto particular emitido en </w:t>
      </w:r>
      <w:r w:rsidR="00A85A7B" w:rsidRPr="009E631B">
        <w:rPr>
          <w:rFonts w:ascii="Palatino Linotype" w:eastAsia="Calibri" w:hAnsi="Palatino Linotype" w:cs="Arial"/>
          <w:color w:val="000000" w:themeColor="text1"/>
          <w:sz w:val="20"/>
        </w:rPr>
        <w:t>la resoluc</w:t>
      </w:r>
      <w:r w:rsidR="00527B65" w:rsidRPr="009E631B">
        <w:rPr>
          <w:rFonts w:ascii="Palatino Linotype" w:eastAsia="Calibri" w:hAnsi="Palatino Linotype" w:cs="Arial"/>
          <w:color w:val="000000" w:themeColor="text1"/>
          <w:sz w:val="20"/>
        </w:rPr>
        <w:t>ión del recurso de revisión 03616</w:t>
      </w:r>
      <w:r w:rsidRPr="009E631B">
        <w:rPr>
          <w:rFonts w:ascii="Palatino Linotype" w:eastAsia="Calibri" w:hAnsi="Palatino Linotype" w:cs="Arial"/>
          <w:color w:val="000000" w:themeColor="text1"/>
          <w:sz w:val="20"/>
        </w:rPr>
        <w:t>/INFOEM/IP/RR/201</w:t>
      </w:r>
      <w:r w:rsidR="00A85A7B" w:rsidRPr="009E631B">
        <w:rPr>
          <w:rFonts w:ascii="Palatino Linotype" w:eastAsia="Calibri" w:hAnsi="Palatino Linotype" w:cs="Arial"/>
          <w:color w:val="000000" w:themeColor="text1"/>
          <w:sz w:val="20"/>
        </w:rPr>
        <w:t>8</w:t>
      </w:r>
      <w:r w:rsidRPr="009E631B">
        <w:rPr>
          <w:rFonts w:ascii="Palatino Linotype" w:eastAsia="Calibri" w:hAnsi="Palatino Linotype" w:cs="Arial"/>
          <w:color w:val="000000" w:themeColor="text1"/>
          <w:sz w:val="20"/>
        </w:rPr>
        <w:t>, aprobad</w:t>
      </w:r>
      <w:r w:rsidR="00527B65" w:rsidRPr="009E631B">
        <w:rPr>
          <w:rFonts w:ascii="Palatino Linotype" w:eastAsia="Calibri" w:hAnsi="Palatino Linotype" w:cs="Arial"/>
          <w:color w:val="000000" w:themeColor="text1"/>
          <w:sz w:val="20"/>
        </w:rPr>
        <w:t>o</w:t>
      </w:r>
      <w:r w:rsidRPr="009E631B">
        <w:rPr>
          <w:rFonts w:ascii="Palatino Linotype" w:eastAsia="Calibri" w:hAnsi="Palatino Linotype" w:cs="Arial"/>
          <w:color w:val="000000" w:themeColor="text1"/>
          <w:sz w:val="20"/>
        </w:rPr>
        <w:t xml:space="preserve"> el </w:t>
      </w:r>
      <w:r w:rsidR="00527B65" w:rsidRPr="009E631B">
        <w:rPr>
          <w:rFonts w:ascii="Palatino Linotype" w:eastAsia="Calibri" w:hAnsi="Palatino Linotype" w:cs="Arial"/>
          <w:color w:val="000000" w:themeColor="text1"/>
          <w:sz w:val="20"/>
        </w:rPr>
        <w:t>siete</w:t>
      </w:r>
      <w:r w:rsidR="00A85A7B" w:rsidRPr="009E631B">
        <w:rPr>
          <w:rFonts w:ascii="Palatino Linotype" w:eastAsia="Calibri" w:hAnsi="Palatino Linotype" w:cs="Arial"/>
          <w:color w:val="000000" w:themeColor="text1"/>
          <w:sz w:val="20"/>
        </w:rPr>
        <w:t xml:space="preserve"> </w:t>
      </w:r>
      <w:r w:rsidR="00683A81" w:rsidRPr="009E631B">
        <w:rPr>
          <w:rFonts w:ascii="Palatino Linotype" w:eastAsia="Calibri" w:hAnsi="Palatino Linotype" w:cs="Arial"/>
          <w:color w:val="000000" w:themeColor="text1"/>
          <w:sz w:val="20"/>
        </w:rPr>
        <w:t xml:space="preserve">de </w:t>
      </w:r>
      <w:r w:rsidR="00527B65" w:rsidRPr="009E631B">
        <w:rPr>
          <w:rFonts w:ascii="Palatino Linotype" w:eastAsia="Calibri" w:hAnsi="Palatino Linotype" w:cs="Arial"/>
          <w:color w:val="000000" w:themeColor="text1"/>
          <w:sz w:val="20"/>
        </w:rPr>
        <w:t>noviembre</w:t>
      </w:r>
      <w:r w:rsidR="00A85A7B" w:rsidRPr="009E631B">
        <w:rPr>
          <w:rFonts w:ascii="Palatino Linotype" w:eastAsia="Calibri" w:hAnsi="Palatino Linotype" w:cs="Arial"/>
          <w:color w:val="000000" w:themeColor="text1"/>
          <w:sz w:val="20"/>
        </w:rPr>
        <w:t xml:space="preserve"> de dos mil dieciocho</w:t>
      </w:r>
      <w:r w:rsidRPr="009E631B">
        <w:rPr>
          <w:rFonts w:ascii="Palatino Linotype" w:eastAsia="Calibri" w:hAnsi="Palatino Linotype" w:cs="Arial"/>
          <w:color w:val="000000" w:themeColor="text1"/>
          <w:sz w:val="20"/>
        </w:rPr>
        <w:t>.</w:t>
      </w:r>
    </w:p>
    <w:p w:rsidR="009E631B" w:rsidRPr="009E631B" w:rsidRDefault="009E631B" w:rsidP="00AE0CD2">
      <w:pPr>
        <w:jc w:val="both"/>
        <w:rPr>
          <w:rFonts w:ascii="Palatino Linotype" w:eastAsia="Calibri" w:hAnsi="Palatino Linotype" w:cs="Arial"/>
          <w:color w:val="000000" w:themeColor="text1"/>
          <w:sz w:val="6"/>
        </w:rPr>
      </w:pPr>
    </w:p>
    <w:p w:rsidR="00F15420" w:rsidRPr="00DF015D" w:rsidRDefault="00A85A7B" w:rsidP="009E631B">
      <w:pPr>
        <w:jc w:val="both"/>
        <w:rPr>
          <w:rFonts w:eastAsia="Calibri"/>
          <w:sz w:val="22"/>
        </w:rPr>
      </w:pPr>
      <w:r w:rsidRPr="009E631B">
        <w:rPr>
          <w:rFonts w:ascii="Palatino Linotype" w:eastAsia="Calibri" w:hAnsi="Palatino Linotype" w:cs="Arial"/>
          <w:color w:val="000000" w:themeColor="text1"/>
          <w:sz w:val="20"/>
        </w:rPr>
        <w:t>YSM/IAHA</w:t>
      </w:r>
    </w:p>
    <w:sectPr w:rsidR="00F15420" w:rsidRPr="00DF015D" w:rsidSect="00AF3382">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CE1" w:rsidRDefault="00FF7CE1" w:rsidP="00C80F8C">
      <w:r>
        <w:separator/>
      </w:r>
    </w:p>
  </w:endnote>
  <w:endnote w:type="continuationSeparator" w:id="0">
    <w:p w:rsidR="00FF7CE1" w:rsidRDefault="00FF7C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2613D3" w:rsidRDefault="002613D3" w:rsidP="003056D9">
    <w:pPr>
      <w:pStyle w:val="Piedepgina"/>
      <w:tabs>
        <w:tab w:val="clear" w:pos="4252"/>
        <w:tab w:val="left" w:pos="4228"/>
      </w:tabs>
      <w:rPr>
        <w:rFonts w:ascii="Palatino Linotype" w:hAnsi="Palatino Linotype" w:cs="Arial"/>
        <w:b/>
        <w:bCs/>
        <w:sz w:val="20"/>
        <w:szCs w:val="20"/>
      </w:rPr>
    </w:pPr>
  </w:p>
  <w:p w:rsidR="0087455A" w:rsidRDefault="0087455A"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15A3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15A3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CE1" w:rsidRDefault="00FF7CE1" w:rsidP="00C80F8C">
      <w:r>
        <w:separator/>
      </w:r>
    </w:p>
  </w:footnote>
  <w:footnote w:type="continuationSeparator" w:id="0">
    <w:p w:rsidR="00FF7CE1" w:rsidRDefault="00FF7CE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015A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rsidR="00B85432" w:rsidRDefault="00B85432" w:rsidP="00B85432">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 xml:space="preserve">RECURSO DE REVISIÓN </w:t>
    </w:r>
    <w:r w:rsidR="003C47A0">
      <w:rPr>
        <w:rFonts w:ascii="Palatino Linotype" w:hAnsi="Palatino Linotype" w:cs="Arial"/>
        <w:sz w:val="20"/>
        <w:szCs w:val="20"/>
      </w:rPr>
      <w:t>03616</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87455A" w:rsidRDefault="0087455A" w:rsidP="00B85432">
    <w:pPr>
      <w:pStyle w:val="Encabezado"/>
      <w:tabs>
        <w:tab w:val="clear" w:pos="4252"/>
        <w:tab w:val="clear" w:pos="8504"/>
        <w:tab w:val="left" w:pos="2326"/>
      </w:tabs>
      <w:ind w:right="-93"/>
      <w:jc w:val="right"/>
      <w:rPr>
        <w:rFonts w:ascii="Palatino Linotype" w:hAnsi="Palatino Linotype" w:cs="Arial"/>
        <w:sz w:val="20"/>
        <w:szCs w:val="20"/>
      </w:rPr>
    </w:pPr>
  </w:p>
  <w:p w:rsidR="002613D3" w:rsidRDefault="00015A32"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4.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015A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4"/>
  </w:num>
  <w:num w:numId="4">
    <w:abstractNumId w:val="0"/>
  </w:num>
  <w:num w:numId="5">
    <w:abstractNumId w:val="10"/>
  </w:num>
  <w:num w:numId="6">
    <w:abstractNumId w:val="7"/>
  </w:num>
  <w:num w:numId="7">
    <w:abstractNumId w:val="11"/>
  </w:num>
  <w:num w:numId="8">
    <w:abstractNumId w:val="6"/>
  </w:num>
  <w:num w:numId="9">
    <w:abstractNumId w:val="8"/>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5A32"/>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0611F"/>
    <w:rsid w:val="00117749"/>
    <w:rsid w:val="001215FC"/>
    <w:rsid w:val="00123644"/>
    <w:rsid w:val="00136F2D"/>
    <w:rsid w:val="0013735C"/>
    <w:rsid w:val="00140058"/>
    <w:rsid w:val="00161C25"/>
    <w:rsid w:val="001749F7"/>
    <w:rsid w:val="00175DEE"/>
    <w:rsid w:val="00187FFD"/>
    <w:rsid w:val="001950C9"/>
    <w:rsid w:val="001A5699"/>
    <w:rsid w:val="001D3F57"/>
    <w:rsid w:val="001E757E"/>
    <w:rsid w:val="001E763C"/>
    <w:rsid w:val="00220AB6"/>
    <w:rsid w:val="00224957"/>
    <w:rsid w:val="002314AA"/>
    <w:rsid w:val="0023504D"/>
    <w:rsid w:val="00237A37"/>
    <w:rsid w:val="0024119C"/>
    <w:rsid w:val="00244994"/>
    <w:rsid w:val="0025202C"/>
    <w:rsid w:val="002562CC"/>
    <w:rsid w:val="00260589"/>
    <w:rsid w:val="002613D3"/>
    <w:rsid w:val="00265F75"/>
    <w:rsid w:val="002940F8"/>
    <w:rsid w:val="002B0148"/>
    <w:rsid w:val="002B7856"/>
    <w:rsid w:val="002D3BBD"/>
    <w:rsid w:val="002D4526"/>
    <w:rsid w:val="002D69E1"/>
    <w:rsid w:val="002E5711"/>
    <w:rsid w:val="002F5CF7"/>
    <w:rsid w:val="0030072F"/>
    <w:rsid w:val="003031E1"/>
    <w:rsid w:val="003056D9"/>
    <w:rsid w:val="003102FA"/>
    <w:rsid w:val="003169F5"/>
    <w:rsid w:val="0033370B"/>
    <w:rsid w:val="0034309A"/>
    <w:rsid w:val="00351129"/>
    <w:rsid w:val="0037321B"/>
    <w:rsid w:val="003A6F70"/>
    <w:rsid w:val="003B03E0"/>
    <w:rsid w:val="003C23BE"/>
    <w:rsid w:val="003C28FC"/>
    <w:rsid w:val="003C2D10"/>
    <w:rsid w:val="003C47A0"/>
    <w:rsid w:val="003C7226"/>
    <w:rsid w:val="003D1C14"/>
    <w:rsid w:val="003E7C23"/>
    <w:rsid w:val="003F0C49"/>
    <w:rsid w:val="003F4C9C"/>
    <w:rsid w:val="003F4F72"/>
    <w:rsid w:val="0040475C"/>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B7325"/>
    <w:rsid w:val="004C40EA"/>
    <w:rsid w:val="004C64D9"/>
    <w:rsid w:val="004D0A26"/>
    <w:rsid w:val="004E02CE"/>
    <w:rsid w:val="004E729A"/>
    <w:rsid w:val="004F0BA3"/>
    <w:rsid w:val="004F206F"/>
    <w:rsid w:val="00500FFD"/>
    <w:rsid w:val="00516914"/>
    <w:rsid w:val="005202B6"/>
    <w:rsid w:val="00522F6A"/>
    <w:rsid w:val="005236B6"/>
    <w:rsid w:val="00527B65"/>
    <w:rsid w:val="005318AB"/>
    <w:rsid w:val="005321E3"/>
    <w:rsid w:val="00552317"/>
    <w:rsid w:val="0055590B"/>
    <w:rsid w:val="00562649"/>
    <w:rsid w:val="00575235"/>
    <w:rsid w:val="0058067E"/>
    <w:rsid w:val="0058639E"/>
    <w:rsid w:val="005870DF"/>
    <w:rsid w:val="0058776D"/>
    <w:rsid w:val="00592A18"/>
    <w:rsid w:val="005B773B"/>
    <w:rsid w:val="005C66D4"/>
    <w:rsid w:val="005D14C4"/>
    <w:rsid w:val="005D1946"/>
    <w:rsid w:val="005F1986"/>
    <w:rsid w:val="00612544"/>
    <w:rsid w:val="0061616C"/>
    <w:rsid w:val="006301B2"/>
    <w:rsid w:val="006338F2"/>
    <w:rsid w:val="00634485"/>
    <w:rsid w:val="0063673D"/>
    <w:rsid w:val="00645B0C"/>
    <w:rsid w:val="00646A97"/>
    <w:rsid w:val="00663A16"/>
    <w:rsid w:val="00672211"/>
    <w:rsid w:val="00680208"/>
    <w:rsid w:val="006824EF"/>
    <w:rsid w:val="00683A81"/>
    <w:rsid w:val="00684492"/>
    <w:rsid w:val="00694EB3"/>
    <w:rsid w:val="00695DA7"/>
    <w:rsid w:val="006967D4"/>
    <w:rsid w:val="006A496D"/>
    <w:rsid w:val="006B59E1"/>
    <w:rsid w:val="006C0991"/>
    <w:rsid w:val="006D21B1"/>
    <w:rsid w:val="006D6457"/>
    <w:rsid w:val="006E6389"/>
    <w:rsid w:val="006F30F8"/>
    <w:rsid w:val="00707421"/>
    <w:rsid w:val="00712BC2"/>
    <w:rsid w:val="0071346B"/>
    <w:rsid w:val="007216EA"/>
    <w:rsid w:val="00721966"/>
    <w:rsid w:val="00723D18"/>
    <w:rsid w:val="00724599"/>
    <w:rsid w:val="00736C06"/>
    <w:rsid w:val="007416E3"/>
    <w:rsid w:val="00742010"/>
    <w:rsid w:val="00744D22"/>
    <w:rsid w:val="00772360"/>
    <w:rsid w:val="007747E6"/>
    <w:rsid w:val="0078087A"/>
    <w:rsid w:val="007957C4"/>
    <w:rsid w:val="007A4AB6"/>
    <w:rsid w:val="007B2ACC"/>
    <w:rsid w:val="007B52C8"/>
    <w:rsid w:val="007B6E55"/>
    <w:rsid w:val="007C0FDA"/>
    <w:rsid w:val="007C3C0E"/>
    <w:rsid w:val="007C4E7D"/>
    <w:rsid w:val="007D0FEE"/>
    <w:rsid w:val="0081298B"/>
    <w:rsid w:val="008217CD"/>
    <w:rsid w:val="00827787"/>
    <w:rsid w:val="00832B51"/>
    <w:rsid w:val="00835ADD"/>
    <w:rsid w:val="00846A21"/>
    <w:rsid w:val="008556C3"/>
    <w:rsid w:val="008562AB"/>
    <w:rsid w:val="00870BFA"/>
    <w:rsid w:val="00873969"/>
    <w:rsid w:val="0087455A"/>
    <w:rsid w:val="00892AFC"/>
    <w:rsid w:val="008A03F8"/>
    <w:rsid w:val="008B0D27"/>
    <w:rsid w:val="008C0700"/>
    <w:rsid w:val="008C0C70"/>
    <w:rsid w:val="008C17F2"/>
    <w:rsid w:val="008D1526"/>
    <w:rsid w:val="008D584A"/>
    <w:rsid w:val="008E1FCA"/>
    <w:rsid w:val="008E3D9C"/>
    <w:rsid w:val="008F684F"/>
    <w:rsid w:val="009141A6"/>
    <w:rsid w:val="00926A92"/>
    <w:rsid w:val="0093343E"/>
    <w:rsid w:val="00953EC8"/>
    <w:rsid w:val="00955551"/>
    <w:rsid w:val="00957456"/>
    <w:rsid w:val="00966E59"/>
    <w:rsid w:val="00967A73"/>
    <w:rsid w:val="00975AA3"/>
    <w:rsid w:val="00975EB9"/>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9E631B"/>
    <w:rsid w:val="00A032F1"/>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03"/>
    <w:rsid w:val="00B77237"/>
    <w:rsid w:val="00B80485"/>
    <w:rsid w:val="00B85432"/>
    <w:rsid w:val="00B95BF7"/>
    <w:rsid w:val="00BC5D71"/>
    <w:rsid w:val="00BD7483"/>
    <w:rsid w:val="00BE2776"/>
    <w:rsid w:val="00C06D9C"/>
    <w:rsid w:val="00C0779E"/>
    <w:rsid w:val="00C1644D"/>
    <w:rsid w:val="00C22B05"/>
    <w:rsid w:val="00C30621"/>
    <w:rsid w:val="00C307F0"/>
    <w:rsid w:val="00C4493E"/>
    <w:rsid w:val="00C766EF"/>
    <w:rsid w:val="00C80F8C"/>
    <w:rsid w:val="00CA047D"/>
    <w:rsid w:val="00CB4015"/>
    <w:rsid w:val="00CC5EAB"/>
    <w:rsid w:val="00CD13BC"/>
    <w:rsid w:val="00CF30E8"/>
    <w:rsid w:val="00D01B99"/>
    <w:rsid w:val="00D12B23"/>
    <w:rsid w:val="00D16EA1"/>
    <w:rsid w:val="00D22D87"/>
    <w:rsid w:val="00D26C0E"/>
    <w:rsid w:val="00D34604"/>
    <w:rsid w:val="00D45865"/>
    <w:rsid w:val="00D46C00"/>
    <w:rsid w:val="00D557C2"/>
    <w:rsid w:val="00D64F32"/>
    <w:rsid w:val="00D66D4C"/>
    <w:rsid w:val="00D93CE4"/>
    <w:rsid w:val="00DA157D"/>
    <w:rsid w:val="00DA5071"/>
    <w:rsid w:val="00DA5209"/>
    <w:rsid w:val="00DC223E"/>
    <w:rsid w:val="00DD519D"/>
    <w:rsid w:val="00DD6A6C"/>
    <w:rsid w:val="00DE6440"/>
    <w:rsid w:val="00DF015D"/>
    <w:rsid w:val="00DF733A"/>
    <w:rsid w:val="00E10A96"/>
    <w:rsid w:val="00E141A5"/>
    <w:rsid w:val="00E146AA"/>
    <w:rsid w:val="00E170E8"/>
    <w:rsid w:val="00E27A4A"/>
    <w:rsid w:val="00E27F2A"/>
    <w:rsid w:val="00E313C4"/>
    <w:rsid w:val="00E3480F"/>
    <w:rsid w:val="00E401F1"/>
    <w:rsid w:val="00E42755"/>
    <w:rsid w:val="00E43B8E"/>
    <w:rsid w:val="00E45B76"/>
    <w:rsid w:val="00E46383"/>
    <w:rsid w:val="00E50E30"/>
    <w:rsid w:val="00E76ECF"/>
    <w:rsid w:val="00E77EA8"/>
    <w:rsid w:val="00E8209A"/>
    <w:rsid w:val="00E91550"/>
    <w:rsid w:val="00E91A10"/>
    <w:rsid w:val="00EA27CB"/>
    <w:rsid w:val="00EA5EEB"/>
    <w:rsid w:val="00EA7874"/>
    <w:rsid w:val="00EB7480"/>
    <w:rsid w:val="00EB7DE6"/>
    <w:rsid w:val="00EB7F1A"/>
    <w:rsid w:val="00EC0002"/>
    <w:rsid w:val="00ED5EE9"/>
    <w:rsid w:val="00F00A8E"/>
    <w:rsid w:val="00F01984"/>
    <w:rsid w:val="00F06505"/>
    <w:rsid w:val="00F15420"/>
    <w:rsid w:val="00F36CDE"/>
    <w:rsid w:val="00F44E84"/>
    <w:rsid w:val="00F45BF1"/>
    <w:rsid w:val="00F5073D"/>
    <w:rsid w:val="00F548A9"/>
    <w:rsid w:val="00F54D8B"/>
    <w:rsid w:val="00F57D55"/>
    <w:rsid w:val="00F67F8E"/>
    <w:rsid w:val="00F7009C"/>
    <w:rsid w:val="00F75801"/>
    <w:rsid w:val="00F92AF0"/>
    <w:rsid w:val="00F92F15"/>
    <w:rsid w:val="00F9624E"/>
    <w:rsid w:val="00FA05FB"/>
    <w:rsid w:val="00FA6221"/>
    <w:rsid w:val="00FB48D6"/>
    <w:rsid w:val="00FE3DC1"/>
    <w:rsid w:val="00FE72F4"/>
    <w:rsid w:val="00FE7408"/>
    <w:rsid w:val="00FF039F"/>
    <w:rsid w:val="00FF4757"/>
    <w:rsid w:val="00FF7CE1"/>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Hipervnculo">
    <w:name w:val="Hyperlink"/>
    <w:basedOn w:val="Fuentedeprrafopredeter"/>
    <w:uiPriority w:val="99"/>
    <w:unhideWhenUsed/>
    <w:rsid w:val="00B77203"/>
    <w:rPr>
      <w:color w:val="0000FF" w:themeColor="hyperlink"/>
      <w:u w:val="single"/>
    </w:rPr>
  </w:style>
  <w:style w:type="paragraph" w:styleId="Textoindependiente">
    <w:name w:val="Body Text"/>
    <w:basedOn w:val="Normal"/>
    <w:link w:val="TextoindependienteCar"/>
    <w:unhideWhenUsed/>
    <w:rsid w:val="002613D3"/>
    <w:pPr>
      <w:spacing w:after="120"/>
    </w:pPr>
    <w:rPr>
      <w:lang w:val="es-ES"/>
    </w:rPr>
  </w:style>
  <w:style w:type="character" w:customStyle="1" w:styleId="TextoindependienteCar">
    <w:name w:val="Texto independiente Car"/>
    <w:basedOn w:val="Fuentedeprrafopredeter"/>
    <w:link w:val="Textoindependiente"/>
    <w:rsid w:val="002613D3"/>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2613D3"/>
    <w:pPr>
      <w:spacing w:after="120"/>
      <w:ind w:left="283"/>
    </w:pPr>
  </w:style>
  <w:style w:type="character" w:customStyle="1" w:styleId="SangradetextonormalCar">
    <w:name w:val="Sangría de texto normal Car"/>
    <w:basedOn w:val="Fuentedeprrafopredeter"/>
    <w:link w:val="Sangradetextonormal"/>
    <w:uiPriority w:val="99"/>
    <w:semiHidden/>
    <w:rsid w:val="002613D3"/>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nhideWhenUsed/>
    <w:rsid w:val="002613D3"/>
    <w:pPr>
      <w:spacing w:after="0"/>
      <w:ind w:left="360" w:firstLine="360"/>
    </w:pPr>
    <w:rPr>
      <w:lang w:val="es-ES"/>
    </w:rPr>
  </w:style>
  <w:style w:type="character" w:customStyle="1" w:styleId="Textoindependienteprimerasangra2Car">
    <w:name w:val="Texto independiente primera sangría 2 Car"/>
    <w:basedOn w:val="SangradetextonormalCar"/>
    <w:link w:val="Textoindependienteprimerasangra2"/>
    <w:rsid w:val="002613D3"/>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PValleDeTolu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96A6-7027-4EEA-BA11-72701D37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1298</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2018-11-09T20:38:00Z</cp:lastPrinted>
  <dcterms:created xsi:type="dcterms:W3CDTF">2018-11-09T16:37:00Z</dcterms:created>
  <dcterms:modified xsi:type="dcterms:W3CDTF">2019-01-11T02:28:00Z</dcterms:modified>
</cp:coreProperties>
</file>